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14" w:rsidRDefault="008B4C14" w:rsidP="008B4C14">
      <w:pPr>
        <w:jc w:val="both"/>
        <w:rPr>
          <w:rFonts w:ascii="Arial" w:hAnsi="Arial" w:cs="Arial"/>
          <w:b/>
        </w:rPr>
      </w:pPr>
      <w:r>
        <w:rPr>
          <w:rFonts w:ascii="Arial" w:hAnsi="Arial" w:cs="Arial"/>
          <w:b/>
        </w:rPr>
        <w:t>ACUERDO QUE MODIFICA EL ACUERDO TERCERO DEL “</w:t>
      </w:r>
      <w:r w:rsidRPr="001417BA">
        <w:rPr>
          <w:rFonts w:ascii="Arial" w:hAnsi="Arial" w:cs="Arial"/>
          <w:b/>
        </w:rPr>
        <w:t>ACUERDO QUE ESTABLECE LAS REGLAS BAJO LAS CUALES LA SECRETARÍA EJECUTIVA DEL INSTITUTO CHIHUAHUENSE PARA LA TRANSPARENCIA Y ACCESO A LA INFORMACIÓN PÚBLICA, HARÁ LA ASIGNACIÓN Y, EN SU CASO, LA REASIGNACIÓN A QUIENES INTEGRAN EL CONSEJO GENERAL,  DE LOS EXPEDIENTES RELATIVOS A LOS RECURSOS DE REVISIÓN Y PROCEDIMIENTOS DE RESPONSABILIDAD, PARA LA ELABORACIÓN DEL PROYECTO DE RESOLUCIÓN CORRESPONDIENTE</w:t>
      </w:r>
      <w:r>
        <w:rPr>
          <w:rFonts w:ascii="Arial" w:hAnsi="Arial" w:cs="Arial"/>
          <w:b/>
        </w:rPr>
        <w:t>”, APROBADO POR EL CONSEJO GENERAL EN SESIÓN EXTRAORDINARIA DE FECHA DIECISÉIS DE DICIEMBRE DEL AÑO DOS MIL DIEZ, EN BASE A LOS SIGUIENTES:</w:t>
      </w:r>
    </w:p>
    <w:p w:rsidR="008B4C14" w:rsidRDefault="008B4C14" w:rsidP="008B4C14">
      <w:pPr>
        <w:jc w:val="both"/>
        <w:rPr>
          <w:rFonts w:ascii="Arial" w:hAnsi="Arial" w:cs="Arial"/>
          <w:b/>
        </w:rPr>
      </w:pPr>
    </w:p>
    <w:p w:rsidR="008B4C14" w:rsidRDefault="008B4C14" w:rsidP="008B4C14">
      <w:pPr>
        <w:jc w:val="center"/>
        <w:rPr>
          <w:rFonts w:ascii="Arial" w:hAnsi="Arial" w:cs="Arial"/>
          <w:b/>
        </w:rPr>
      </w:pPr>
    </w:p>
    <w:p w:rsidR="008B4C14" w:rsidRDefault="008B4C14" w:rsidP="008B4C14">
      <w:pPr>
        <w:jc w:val="center"/>
        <w:rPr>
          <w:rFonts w:ascii="Arial" w:hAnsi="Arial" w:cs="Arial"/>
          <w:b/>
        </w:rPr>
      </w:pPr>
      <w:r>
        <w:rPr>
          <w:rFonts w:ascii="Arial" w:hAnsi="Arial" w:cs="Arial"/>
          <w:b/>
        </w:rPr>
        <w:t>CONSIDERANDOS:</w:t>
      </w:r>
    </w:p>
    <w:p w:rsidR="008B4C14" w:rsidRDefault="008B4C14" w:rsidP="008B4C14">
      <w:pPr>
        <w:jc w:val="center"/>
        <w:rPr>
          <w:rFonts w:ascii="Arial" w:hAnsi="Arial" w:cs="Arial"/>
          <w:b/>
        </w:rPr>
      </w:pPr>
    </w:p>
    <w:p w:rsidR="008B4C14" w:rsidRDefault="008B4C14" w:rsidP="008B4C14">
      <w:pPr>
        <w:jc w:val="both"/>
        <w:rPr>
          <w:rFonts w:ascii="Arial" w:hAnsi="Arial" w:cs="Arial"/>
          <w:b/>
        </w:rPr>
      </w:pPr>
    </w:p>
    <w:p w:rsidR="008B4C14" w:rsidRDefault="008B4C14" w:rsidP="008B4C14">
      <w:pPr>
        <w:jc w:val="both"/>
        <w:rPr>
          <w:rFonts w:ascii="Arial" w:hAnsi="Arial" w:cs="Arial"/>
          <w:b/>
        </w:rPr>
      </w:pPr>
      <w:r w:rsidRPr="000A43B3">
        <w:rPr>
          <w:rFonts w:ascii="Arial" w:hAnsi="Arial" w:cs="Arial"/>
          <w:b/>
        </w:rPr>
        <w:t>I.-</w:t>
      </w:r>
      <w:r w:rsidRPr="000A43B3">
        <w:rPr>
          <w:rFonts w:ascii="Arial" w:hAnsi="Arial" w:cs="Arial"/>
        </w:rPr>
        <w:t xml:space="preserve"> Que </w:t>
      </w:r>
      <w:r>
        <w:rPr>
          <w:rFonts w:ascii="Arial" w:hAnsi="Arial" w:cs="Arial"/>
        </w:rPr>
        <w:t xml:space="preserve">en Sesión Extraordinaria de fecha dieciséis de diciembre de dos mil diez, </w:t>
      </w:r>
      <w:r w:rsidRPr="000A43B3">
        <w:rPr>
          <w:rFonts w:ascii="Arial" w:hAnsi="Arial" w:cs="Arial"/>
        </w:rPr>
        <w:t>el</w:t>
      </w:r>
      <w:r>
        <w:rPr>
          <w:rFonts w:ascii="Arial" w:hAnsi="Arial" w:cs="Arial"/>
        </w:rPr>
        <w:t xml:space="preserve"> Consejo General aprobó el “</w:t>
      </w:r>
      <w:r w:rsidRPr="001417BA">
        <w:rPr>
          <w:rFonts w:ascii="Arial" w:hAnsi="Arial" w:cs="Arial"/>
          <w:b/>
        </w:rPr>
        <w:t>ACUERDO QUE ESTABLECE LAS REGLAS BAJO LAS CUALES LA SECRETARÍA EJECUTIVA DEL INSTITUTO CHIHUAHUENSE PARA LA TRANSPARENCIA Y ACCESO A LA INFORMACIÓN PÚBLICA, HARÁ LA ASIGNACIÓN Y, EN SU CASO, LA REASIGNACIÓN A QUIENES INTEGRAN EL CONSEJO GENERAL, DE LOS EXPEDIENTES RELATIVOS A LOS RECURSOS DE REVISIÓN Y PROCEDIMIENTOS DE RESPONSABILIDAD, PARA LA ELABORACIÓN DEL PROYECTO DE RESOLUCIÓN CORRESPONDIENTE</w:t>
      </w:r>
      <w:r>
        <w:rPr>
          <w:rFonts w:ascii="Arial" w:hAnsi="Arial" w:cs="Arial"/>
          <w:b/>
        </w:rPr>
        <w:t>”.</w:t>
      </w:r>
    </w:p>
    <w:p w:rsidR="008B4C14" w:rsidRDefault="008B4C14" w:rsidP="008B4C14">
      <w:pPr>
        <w:jc w:val="both"/>
        <w:rPr>
          <w:rFonts w:ascii="Arial" w:hAnsi="Arial" w:cs="Arial"/>
          <w:b/>
        </w:rPr>
      </w:pPr>
    </w:p>
    <w:p w:rsidR="008B4C14" w:rsidRDefault="008B4C14" w:rsidP="008B4C14">
      <w:pPr>
        <w:jc w:val="both"/>
        <w:rPr>
          <w:rFonts w:ascii="Arial" w:hAnsi="Arial" w:cs="Arial"/>
          <w:b/>
        </w:rPr>
      </w:pPr>
    </w:p>
    <w:p w:rsidR="008B4C14" w:rsidRDefault="008B4C14" w:rsidP="008B4C14">
      <w:pPr>
        <w:jc w:val="both"/>
        <w:rPr>
          <w:rFonts w:ascii="Arial" w:hAnsi="Arial" w:cs="Arial"/>
        </w:rPr>
      </w:pPr>
      <w:r>
        <w:rPr>
          <w:rFonts w:ascii="Arial" w:hAnsi="Arial" w:cs="Arial"/>
          <w:b/>
        </w:rPr>
        <w:t xml:space="preserve">II.- </w:t>
      </w:r>
      <w:r w:rsidRPr="00BA4458">
        <w:rPr>
          <w:rFonts w:ascii="Arial" w:hAnsi="Arial" w:cs="Arial"/>
        </w:rPr>
        <w:t xml:space="preserve">Que en el Acuerdo que se describe en el Considerando </w:t>
      </w:r>
      <w:r>
        <w:rPr>
          <w:rFonts w:ascii="Arial" w:hAnsi="Arial" w:cs="Arial"/>
        </w:rPr>
        <w:t>anterior</w:t>
      </w:r>
      <w:r w:rsidRPr="00BA4458">
        <w:rPr>
          <w:rFonts w:ascii="Arial" w:hAnsi="Arial" w:cs="Arial"/>
        </w:rPr>
        <w:t>, se aprobó el Acuerdo Tercero, el que quedó redactado de la siguiente manera:</w:t>
      </w:r>
    </w:p>
    <w:p w:rsidR="008B4C14" w:rsidRDefault="008B4C14" w:rsidP="008B4C14">
      <w:pPr>
        <w:jc w:val="both"/>
        <w:rPr>
          <w:rFonts w:ascii="Arial" w:hAnsi="Arial" w:cs="Arial"/>
        </w:rPr>
      </w:pPr>
    </w:p>
    <w:p w:rsidR="008B4C14" w:rsidRPr="00845192" w:rsidRDefault="008B4C14" w:rsidP="008B4C14">
      <w:pPr>
        <w:ind w:left="708"/>
        <w:jc w:val="both"/>
        <w:rPr>
          <w:rFonts w:ascii="Arial" w:hAnsi="Arial" w:cs="Arial"/>
          <w:i/>
        </w:rPr>
      </w:pPr>
      <w:r>
        <w:rPr>
          <w:rFonts w:ascii="Arial" w:hAnsi="Arial" w:cs="Arial"/>
          <w:b/>
          <w:i/>
        </w:rPr>
        <w:t>“</w:t>
      </w:r>
      <w:r w:rsidRPr="00845192">
        <w:rPr>
          <w:rFonts w:ascii="Arial" w:hAnsi="Arial" w:cs="Arial"/>
          <w:b/>
          <w:i/>
        </w:rPr>
        <w:t>TERCERO.-</w:t>
      </w:r>
      <w:r w:rsidRPr="00845192">
        <w:rPr>
          <w:rFonts w:ascii="Arial" w:hAnsi="Arial" w:cs="Arial"/>
          <w:i/>
        </w:rPr>
        <w:t xml:space="preserve"> Respecto a lo preceptuado por el artículo 72 de la Ley de Transparencia y Acceso a la  Información Pública para la recepción y admisión del recurso de revisión se estará a que:</w:t>
      </w:r>
    </w:p>
    <w:p w:rsidR="008B4C14" w:rsidRPr="00845192" w:rsidRDefault="008B4C14" w:rsidP="008B4C14">
      <w:pPr>
        <w:ind w:left="708"/>
        <w:jc w:val="both"/>
        <w:rPr>
          <w:rFonts w:ascii="Arial" w:hAnsi="Arial" w:cs="Arial"/>
          <w:i/>
        </w:rPr>
      </w:pPr>
    </w:p>
    <w:p w:rsidR="008B4C14" w:rsidRPr="00845192" w:rsidRDefault="008B4C14" w:rsidP="008B4C14">
      <w:pPr>
        <w:ind w:left="1416"/>
        <w:jc w:val="both"/>
        <w:rPr>
          <w:rFonts w:ascii="Arial" w:hAnsi="Arial" w:cs="Arial"/>
          <w:i/>
        </w:rPr>
      </w:pPr>
      <w:r w:rsidRPr="00845192">
        <w:rPr>
          <w:rFonts w:ascii="Arial" w:hAnsi="Arial" w:cs="Arial"/>
          <w:i/>
        </w:rPr>
        <w:t>•El acuerdo de recepción se elaborará el mismo día en que sea recibido el recurso.</w:t>
      </w:r>
    </w:p>
    <w:p w:rsidR="008B4C14" w:rsidRPr="00845192" w:rsidRDefault="008B4C14" w:rsidP="008B4C14">
      <w:pPr>
        <w:ind w:left="1416"/>
        <w:jc w:val="both"/>
        <w:rPr>
          <w:rFonts w:ascii="Arial" w:hAnsi="Arial" w:cs="Arial"/>
          <w:i/>
        </w:rPr>
      </w:pPr>
    </w:p>
    <w:p w:rsidR="008B4C14" w:rsidRPr="00845192" w:rsidRDefault="008B4C14" w:rsidP="008B4C14">
      <w:pPr>
        <w:ind w:left="1416"/>
        <w:jc w:val="both"/>
        <w:rPr>
          <w:rFonts w:ascii="Arial" w:hAnsi="Arial" w:cs="Arial"/>
          <w:i/>
        </w:rPr>
      </w:pPr>
      <w:r w:rsidRPr="00845192">
        <w:rPr>
          <w:rFonts w:ascii="Arial" w:hAnsi="Arial" w:cs="Arial"/>
          <w:i/>
        </w:rPr>
        <w:t>•La Secretaria Ejecutiva hará del conocimiento del consejero o consejera, la asignación del recurso al día siguiente de su recepción y acordará con el Consejero(a) ponente, la admisión o no del mismo.</w:t>
      </w:r>
    </w:p>
    <w:p w:rsidR="008B4C14" w:rsidRPr="00845192" w:rsidRDefault="008B4C14" w:rsidP="008B4C14">
      <w:pPr>
        <w:ind w:left="1416"/>
        <w:jc w:val="both"/>
        <w:rPr>
          <w:rFonts w:ascii="Arial" w:hAnsi="Arial" w:cs="Arial"/>
          <w:i/>
        </w:rPr>
      </w:pPr>
    </w:p>
    <w:p w:rsidR="008B4C14" w:rsidRPr="00845192" w:rsidRDefault="008B4C14" w:rsidP="008B4C14">
      <w:pPr>
        <w:ind w:left="1416"/>
        <w:jc w:val="both"/>
        <w:rPr>
          <w:rFonts w:ascii="Arial" w:hAnsi="Arial" w:cs="Arial"/>
          <w:i/>
        </w:rPr>
      </w:pPr>
      <w:r w:rsidRPr="00845192">
        <w:rPr>
          <w:rFonts w:ascii="Arial" w:hAnsi="Arial" w:cs="Arial"/>
          <w:i/>
        </w:rPr>
        <w:t>•En caso de haber discrepancia entre el criterio de la Secretaria Ejecutiva y el consejero ponente, prevalecerá el criterio de éste para la emisión del acuerdo en sus términos.</w:t>
      </w:r>
      <w:r>
        <w:rPr>
          <w:rFonts w:ascii="Arial" w:hAnsi="Arial" w:cs="Arial"/>
          <w:i/>
        </w:rPr>
        <w:t>”</w:t>
      </w:r>
      <w:r w:rsidRPr="00845192">
        <w:rPr>
          <w:rFonts w:ascii="Arial" w:hAnsi="Arial" w:cs="Arial"/>
          <w:i/>
        </w:rPr>
        <w:t xml:space="preserve"> </w:t>
      </w:r>
    </w:p>
    <w:p w:rsidR="008B4C14" w:rsidRPr="00BA4458" w:rsidRDefault="008B4C14" w:rsidP="008B4C14">
      <w:pPr>
        <w:jc w:val="both"/>
        <w:rPr>
          <w:rFonts w:ascii="Arial" w:hAnsi="Arial" w:cs="Arial"/>
        </w:rPr>
      </w:pPr>
    </w:p>
    <w:p w:rsidR="008B4C14" w:rsidRPr="000A43B3" w:rsidRDefault="008B4C14" w:rsidP="008B4C14">
      <w:pPr>
        <w:jc w:val="both"/>
        <w:rPr>
          <w:rFonts w:ascii="Arial" w:hAnsi="Arial" w:cs="Arial"/>
        </w:rPr>
      </w:pPr>
      <w:r>
        <w:rPr>
          <w:rFonts w:ascii="Arial" w:hAnsi="Arial" w:cs="Arial"/>
          <w:b/>
        </w:rPr>
        <w:t xml:space="preserve">III.- </w:t>
      </w:r>
      <w:r w:rsidRPr="00BA4458">
        <w:rPr>
          <w:rFonts w:ascii="Arial" w:hAnsi="Arial" w:cs="Arial"/>
        </w:rPr>
        <w:t>Que el artículo 72</w:t>
      </w:r>
      <w:r>
        <w:rPr>
          <w:rFonts w:ascii="Arial" w:hAnsi="Arial" w:cs="Arial"/>
        </w:rPr>
        <w:t>,</w:t>
      </w:r>
      <w:r w:rsidRPr="00BA4458">
        <w:rPr>
          <w:rFonts w:ascii="Arial" w:hAnsi="Arial" w:cs="Arial"/>
        </w:rPr>
        <w:t xml:space="preserve"> de la Ley de Transparencia y Acceso a la Información Pública, </w:t>
      </w:r>
      <w:r>
        <w:rPr>
          <w:rFonts w:ascii="Arial" w:hAnsi="Arial" w:cs="Arial"/>
        </w:rPr>
        <w:t xml:space="preserve">reformado mediante Decreto número 1085-2010 II P.O., emitido por la Sexagésima Legislatura del H. Congreso del Estado, publicado en el Periódico Oficial del Estado de Chihuahua, número 73, de fecha 11 de septiembre de 2010, </w:t>
      </w:r>
      <w:r w:rsidRPr="00BA4458">
        <w:rPr>
          <w:rFonts w:ascii="Arial" w:hAnsi="Arial" w:cs="Arial"/>
        </w:rPr>
        <w:t>establece lo siguiente:</w:t>
      </w:r>
    </w:p>
    <w:p w:rsidR="008B4C14" w:rsidRDefault="008B4C14" w:rsidP="008B4C14"/>
    <w:p w:rsidR="008B4C14" w:rsidRPr="00E919C1" w:rsidRDefault="008B4C14" w:rsidP="008B4C14">
      <w:pPr>
        <w:ind w:left="708"/>
        <w:jc w:val="both"/>
        <w:rPr>
          <w:rFonts w:ascii="Arial" w:hAnsi="Arial" w:cs="Arial"/>
          <w:i/>
        </w:rPr>
      </w:pPr>
      <w:r>
        <w:rPr>
          <w:rFonts w:ascii="Arial" w:hAnsi="Arial" w:cs="Arial"/>
          <w:b/>
          <w:i/>
        </w:rPr>
        <w:t>“</w:t>
      </w:r>
      <w:r w:rsidRPr="00E919C1">
        <w:rPr>
          <w:rFonts w:ascii="Arial" w:hAnsi="Arial" w:cs="Arial"/>
          <w:b/>
          <w:i/>
        </w:rPr>
        <w:t>Artículo 72</w:t>
      </w:r>
      <w:r w:rsidRPr="00E919C1">
        <w:rPr>
          <w:rFonts w:ascii="Arial" w:hAnsi="Arial" w:cs="Arial"/>
          <w:i/>
        </w:rPr>
        <w:t>.- El Instituto, bajo su más estricta responsabilidad, deberá emitir la resolución debidamente fundada y motivada, en un término no mayor de treinta días hábiles, contados a partir de la interposición del recurso, ya sea confirmando, modificando o revocando dicha resolución.</w:t>
      </w:r>
    </w:p>
    <w:p w:rsidR="008B4C14" w:rsidRPr="00E919C1" w:rsidRDefault="008B4C14" w:rsidP="008B4C14">
      <w:pPr>
        <w:ind w:left="708"/>
        <w:jc w:val="both"/>
        <w:rPr>
          <w:rFonts w:ascii="Arial" w:hAnsi="Arial" w:cs="Arial"/>
          <w:i/>
        </w:rPr>
      </w:pPr>
      <w:r w:rsidRPr="00E919C1">
        <w:rPr>
          <w:rFonts w:ascii="Arial" w:hAnsi="Arial" w:cs="Arial"/>
          <w:i/>
        </w:rPr>
        <w:t>El incumplimiento de este precepto se considerará como una falta grave.</w:t>
      </w:r>
    </w:p>
    <w:p w:rsidR="008B4C14" w:rsidRDefault="008B4C14" w:rsidP="008B4C14">
      <w:pPr>
        <w:ind w:left="708"/>
        <w:jc w:val="both"/>
        <w:rPr>
          <w:rFonts w:ascii="Arial" w:hAnsi="Arial" w:cs="Arial"/>
          <w:i/>
        </w:rPr>
      </w:pPr>
      <w:r w:rsidRPr="00E919C1">
        <w:rPr>
          <w:rFonts w:ascii="Arial" w:hAnsi="Arial" w:cs="Arial"/>
          <w:i/>
        </w:rPr>
        <w:t>La Secretaría Ejecutiva emitirá el acuerdo de recepción del recurso de revisión el mismo día en que se interpuso; en caso de que la recepción ocurra después de las quince horas, se tendrá por recibido con fecha del día hábil siguiente.</w:t>
      </w:r>
    </w:p>
    <w:p w:rsidR="008B4C14" w:rsidRPr="00E919C1" w:rsidRDefault="008B4C14" w:rsidP="008B4C14">
      <w:pPr>
        <w:ind w:left="708"/>
        <w:jc w:val="both"/>
        <w:rPr>
          <w:rFonts w:ascii="Arial" w:hAnsi="Arial" w:cs="Arial"/>
          <w:i/>
        </w:rPr>
      </w:pPr>
    </w:p>
    <w:p w:rsidR="008B4C14" w:rsidRDefault="008B4C14" w:rsidP="008B4C14">
      <w:pPr>
        <w:ind w:left="708"/>
        <w:jc w:val="both"/>
        <w:rPr>
          <w:rFonts w:ascii="Arial" w:hAnsi="Arial" w:cs="Arial"/>
          <w:i/>
        </w:rPr>
      </w:pPr>
      <w:r w:rsidRPr="00E919C1">
        <w:rPr>
          <w:rFonts w:ascii="Arial" w:hAnsi="Arial" w:cs="Arial"/>
          <w:i/>
        </w:rPr>
        <w:t xml:space="preserve">Una vez recibido el recurso de revisión, la persona titular de </w:t>
      </w:r>
      <w:smartTag w:uri="urn:schemas-microsoft-com:office:smarttags" w:element="PersonName">
        <w:smartTagPr>
          <w:attr w:name="ProductID" w:val="La Secretar￭a Ejecutiva"/>
        </w:smartTagPr>
        <w:r w:rsidRPr="00E919C1">
          <w:rPr>
            <w:rFonts w:ascii="Arial" w:hAnsi="Arial" w:cs="Arial"/>
            <w:i/>
          </w:rPr>
          <w:t>la Secretaría Ejecutiva</w:t>
        </w:r>
      </w:smartTag>
      <w:r w:rsidRPr="00E919C1">
        <w:rPr>
          <w:rFonts w:ascii="Arial" w:hAnsi="Arial" w:cs="Arial"/>
          <w:i/>
        </w:rPr>
        <w:t xml:space="preserve"> asignará por riguroso turno el expediente al Consejero que corresponda.</w:t>
      </w:r>
    </w:p>
    <w:p w:rsidR="008B4C14" w:rsidRPr="00E919C1" w:rsidRDefault="008B4C14" w:rsidP="008B4C14">
      <w:pPr>
        <w:ind w:left="708"/>
        <w:jc w:val="both"/>
        <w:rPr>
          <w:rFonts w:ascii="Arial" w:hAnsi="Arial" w:cs="Arial"/>
          <w:i/>
        </w:rPr>
      </w:pPr>
    </w:p>
    <w:p w:rsidR="008B4C14" w:rsidRDefault="008B4C14" w:rsidP="008B4C14">
      <w:pPr>
        <w:ind w:left="708"/>
        <w:jc w:val="both"/>
        <w:rPr>
          <w:rFonts w:ascii="Arial" w:hAnsi="Arial" w:cs="Arial"/>
          <w:i/>
        </w:rPr>
      </w:pPr>
      <w:r w:rsidRPr="00E919C1">
        <w:rPr>
          <w:rFonts w:ascii="Arial" w:hAnsi="Arial" w:cs="Arial"/>
          <w:i/>
        </w:rPr>
        <w:t>El Secretario Ejecutivo hará del conocimiento del Consejero ponente el desarrollo de la tramitación del recurso de revisión en todas sus etapas, a efecto de que, en su caso, el ponente someta a consideración del Consejo General los acuerdos necesarios para garantizar el derecho de acceso a la información pública y el de protección de datos personales.</w:t>
      </w:r>
    </w:p>
    <w:p w:rsidR="008B4C14" w:rsidRPr="00E919C1" w:rsidRDefault="008B4C14" w:rsidP="008B4C14">
      <w:pPr>
        <w:ind w:left="708"/>
        <w:jc w:val="both"/>
        <w:rPr>
          <w:rFonts w:ascii="Arial" w:hAnsi="Arial" w:cs="Arial"/>
          <w:i/>
        </w:rPr>
      </w:pPr>
    </w:p>
    <w:p w:rsidR="008B4C14" w:rsidRPr="00E919C1" w:rsidRDefault="008B4C14" w:rsidP="008B4C14">
      <w:pPr>
        <w:ind w:left="708"/>
        <w:jc w:val="both"/>
        <w:rPr>
          <w:rFonts w:ascii="Arial" w:hAnsi="Arial" w:cs="Arial"/>
          <w:i/>
        </w:rPr>
      </w:pPr>
      <w:r w:rsidRPr="00E919C1">
        <w:rPr>
          <w:rFonts w:ascii="Arial" w:hAnsi="Arial" w:cs="Arial"/>
          <w:i/>
        </w:rPr>
        <w:t>El acuerdo de admisión del recurso de revisión deberá hacerse dentro de los tres días hábiles siguientes al en que se hubiere recibido el recurso de revisión.</w:t>
      </w:r>
      <w:r>
        <w:rPr>
          <w:rFonts w:ascii="Arial" w:hAnsi="Arial" w:cs="Arial"/>
          <w:i/>
        </w:rPr>
        <w:t>”</w:t>
      </w:r>
    </w:p>
    <w:p w:rsidR="008B4C14" w:rsidRDefault="008B4C14" w:rsidP="008B4C14">
      <w:pPr>
        <w:jc w:val="both"/>
        <w:rPr>
          <w:rFonts w:ascii="Arial" w:hAnsi="Arial" w:cs="Arial"/>
          <w:b/>
        </w:rPr>
      </w:pPr>
    </w:p>
    <w:p w:rsidR="008B4C14" w:rsidRDefault="008B4C14" w:rsidP="008B4C14">
      <w:pPr>
        <w:jc w:val="both"/>
        <w:rPr>
          <w:rFonts w:ascii="Arial" w:hAnsi="Arial" w:cs="Arial"/>
          <w:b/>
        </w:rPr>
      </w:pPr>
    </w:p>
    <w:p w:rsidR="008B4C14" w:rsidRDefault="008B4C14" w:rsidP="008B4C14">
      <w:pPr>
        <w:jc w:val="both"/>
        <w:rPr>
          <w:rFonts w:ascii="Arial" w:hAnsi="Arial" w:cs="Arial"/>
        </w:rPr>
      </w:pPr>
      <w:r>
        <w:rPr>
          <w:rFonts w:ascii="Arial" w:hAnsi="Arial" w:cs="Arial"/>
          <w:b/>
        </w:rPr>
        <w:t>IV</w:t>
      </w:r>
      <w:r w:rsidRPr="00845192">
        <w:rPr>
          <w:rFonts w:ascii="Arial" w:hAnsi="Arial" w:cs="Arial"/>
          <w:b/>
        </w:rPr>
        <w:t xml:space="preserve">.- </w:t>
      </w:r>
      <w:r>
        <w:rPr>
          <w:rFonts w:ascii="Arial" w:hAnsi="Arial" w:cs="Arial"/>
        </w:rPr>
        <w:t xml:space="preserve">Que </w:t>
      </w:r>
      <w:r w:rsidRPr="00DD7A9D">
        <w:rPr>
          <w:rFonts w:ascii="Arial" w:hAnsi="Arial" w:cs="Arial"/>
        </w:rPr>
        <w:t xml:space="preserve">la redacción </w:t>
      </w:r>
      <w:r w:rsidRPr="00845192">
        <w:rPr>
          <w:rFonts w:ascii="Arial" w:hAnsi="Arial" w:cs="Arial"/>
        </w:rPr>
        <w:t xml:space="preserve">del Acuerdo </w:t>
      </w:r>
      <w:r>
        <w:rPr>
          <w:rFonts w:ascii="Arial" w:hAnsi="Arial" w:cs="Arial"/>
        </w:rPr>
        <w:t>Tercero, d</w:t>
      </w:r>
      <w:r w:rsidRPr="00BA4458">
        <w:rPr>
          <w:rFonts w:ascii="Arial" w:hAnsi="Arial" w:cs="Arial"/>
        </w:rPr>
        <w:t xml:space="preserve">el Acuerdo que se describe en el Considerando I, </w:t>
      </w:r>
      <w:r>
        <w:rPr>
          <w:rFonts w:ascii="Arial" w:hAnsi="Arial" w:cs="Arial"/>
        </w:rPr>
        <w:t xml:space="preserve">va en contra de la </w:t>
      </w:r>
      <w:r w:rsidRPr="00845192">
        <w:rPr>
          <w:rFonts w:ascii="Arial" w:hAnsi="Arial" w:cs="Arial"/>
        </w:rPr>
        <w:t xml:space="preserve">redacción del artículo 72, de la Ley de la materia, por lo cual se hace necesaria su modificación para que el Acuerdo en cuestión se encuentre redactado en orden a lo establecido en el artículo 72 de referencia. </w:t>
      </w:r>
    </w:p>
    <w:p w:rsidR="008B4C14" w:rsidRDefault="008B4C14" w:rsidP="008B4C14">
      <w:pPr>
        <w:jc w:val="both"/>
        <w:rPr>
          <w:rFonts w:ascii="Arial" w:hAnsi="Arial" w:cs="Arial"/>
        </w:rPr>
      </w:pPr>
    </w:p>
    <w:p w:rsidR="008B4C14" w:rsidRPr="00845192" w:rsidRDefault="008B4C14" w:rsidP="008B4C14">
      <w:pPr>
        <w:jc w:val="both"/>
        <w:rPr>
          <w:rFonts w:ascii="Arial" w:hAnsi="Arial" w:cs="Arial"/>
        </w:rPr>
      </w:pPr>
      <w:r>
        <w:rPr>
          <w:rFonts w:ascii="Arial" w:hAnsi="Arial" w:cs="Arial"/>
        </w:rPr>
        <w:t xml:space="preserve">Conforme a las anteriores consideraciones, este Consejo General emite el siguiente </w:t>
      </w:r>
    </w:p>
    <w:p w:rsidR="008B4C14" w:rsidRDefault="008B4C14" w:rsidP="008B4C14">
      <w:pPr>
        <w:rPr>
          <w:rFonts w:ascii="Arial" w:hAnsi="Arial" w:cs="Arial"/>
          <w:b/>
        </w:rPr>
      </w:pPr>
    </w:p>
    <w:p w:rsidR="008B4C14" w:rsidRDefault="008B4C14" w:rsidP="008B4C14">
      <w:pPr>
        <w:jc w:val="center"/>
        <w:rPr>
          <w:rFonts w:ascii="Arial" w:hAnsi="Arial" w:cs="Arial"/>
          <w:b/>
        </w:rPr>
      </w:pPr>
    </w:p>
    <w:p w:rsidR="008B4C14" w:rsidRDefault="008B4C14" w:rsidP="008B4C14">
      <w:pPr>
        <w:jc w:val="center"/>
        <w:rPr>
          <w:rFonts w:ascii="Arial" w:hAnsi="Arial" w:cs="Arial"/>
          <w:b/>
        </w:rPr>
      </w:pPr>
      <w:r>
        <w:rPr>
          <w:rFonts w:ascii="Arial" w:hAnsi="Arial" w:cs="Arial"/>
          <w:b/>
        </w:rPr>
        <w:t>ACUERDO:</w:t>
      </w:r>
    </w:p>
    <w:p w:rsidR="008B4C14" w:rsidRDefault="008B4C14" w:rsidP="008B4C14">
      <w:pPr>
        <w:jc w:val="both"/>
        <w:rPr>
          <w:rFonts w:ascii="Arial" w:hAnsi="Arial" w:cs="Arial"/>
          <w:b/>
        </w:rPr>
      </w:pPr>
    </w:p>
    <w:p w:rsidR="008B4C14" w:rsidRPr="00BA4458" w:rsidRDefault="008B4C14" w:rsidP="008B4C14">
      <w:pPr>
        <w:jc w:val="both"/>
        <w:rPr>
          <w:rFonts w:ascii="Arial" w:hAnsi="Arial" w:cs="Arial"/>
        </w:rPr>
      </w:pPr>
      <w:r>
        <w:rPr>
          <w:rFonts w:ascii="Arial" w:hAnsi="Arial" w:cs="Arial"/>
          <w:b/>
        </w:rPr>
        <w:t xml:space="preserve">ÚNICO.- </w:t>
      </w:r>
      <w:r w:rsidRPr="00BA4458">
        <w:rPr>
          <w:rFonts w:ascii="Arial" w:hAnsi="Arial" w:cs="Arial"/>
        </w:rPr>
        <w:t xml:space="preserve">Se modifica el Acuerdo Tercero del “ACUERDO QUE ESTABLECE LAS REGLAS BAJO LAS CUALES LA SECRETARÍA EJECUTIVA DEL INSTITUTO CHIHUAHUENSE PARA LA TRANSPARENCIA Y ACCESO A LA INFORMACIÓN PÚBLICA, HARÁ LA ASIGNACIÓN Y, EN SU CASO, LA REASIGNACIÓN A QUIENES </w:t>
      </w:r>
      <w:r w:rsidRPr="00BA4458">
        <w:rPr>
          <w:rFonts w:ascii="Arial" w:hAnsi="Arial" w:cs="Arial"/>
        </w:rPr>
        <w:lastRenderedPageBreak/>
        <w:t>INTEGRAN EL CONSEJO GENERAL,  DE LOS EXPEDIENTES RELATIVOS A LOS RECURSOS DE REVISIÓN Y PROCEDIMIENTOS DE RESPONSABILIDAD, PARA LA ELABORACIÓN DEL PROYECTO DE RESOLUCIÓN CORRESPONDIENTE”, aprobado</w:t>
      </w:r>
      <w:r>
        <w:rPr>
          <w:rFonts w:ascii="Arial" w:hAnsi="Arial" w:cs="Arial"/>
        </w:rPr>
        <w:t xml:space="preserve"> por el Consejo General del Instituto </w:t>
      </w:r>
      <w:r w:rsidRPr="00BA4458">
        <w:rPr>
          <w:rFonts w:ascii="Arial" w:hAnsi="Arial" w:cs="Arial"/>
        </w:rPr>
        <w:t>en fecha dieciséis de diciembre para quedar redactado de la siguiente manera:</w:t>
      </w:r>
    </w:p>
    <w:p w:rsidR="008B4C14" w:rsidRDefault="008B4C14" w:rsidP="008B4C14">
      <w:pPr>
        <w:jc w:val="both"/>
        <w:rPr>
          <w:rFonts w:ascii="Arial" w:hAnsi="Arial" w:cs="Arial"/>
          <w:b/>
        </w:rPr>
      </w:pPr>
    </w:p>
    <w:p w:rsidR="008B4C14" w:rsidRPr="00BA4458" w:rsidRDefault="008B4C14" w:rsidP="008B4C14">
      <w:pPr>
        <w:spacing w:line="276" w:lineRule="auto"/>
        <w:ind w:left="708"/>
        <w:jc w:val="both"/>
        <w:rPr>
          <w:rFonts w:ascii="Arial" w:hAnsi="Arial" w:cs="Arial"/>
          <w:i/>
          <w:sz w:val="22"/>
          <w:szCs w:val="22"/>
        </w:rPr>
      </w:pPr>
      <w:r w:rsidRPr="00BA4458">
        <w:rPr>
          <w:rFonts w:ascii="Arial" w:hAnsi="Arial" w:cs="Arial"/>
          <w:b/>
          <w:i/>
          <w:sz w:val="22"/>
          <w:szCs w:val="22"/>
        </w:rPr>
        <w:t>“TERCERO.-</w:t>
      </w:r>
      <w:r w:rsidRPr="00BA4458">
        <w:rPr>
          <w:rFonts w:ascii="Arial" w:hAnsi="Arial" w:cs="Arial"/>
          <w:i/>
          <w:sz w:val="22"/>
          <w:szCs w:val="22"/>
        </w:rPr>
        <w:t xml:space="preserve"> Respecto a lo preceptuado por el artículo 72 de la Ley de Transparencia y Acceso a la  Información Pública para la recepción y admisión del recurso de revisión se estará a lo siguiente:</w:t>
      </w:r>
    </w:p>
    <w:p w:rsidR="008B4C14" w:rsidRPr="00BA4458" w:rsidRDefault="008B4C14" w:rsidP="008B4C14">
      <w:pPr>
        <w:spacing w:line="276" w:lineRule="auto"/>
        <w:ind w:left="708"/>
        <w:jc w:val="both"/>
        <w:rPr>
          <w:rFonts w:ascii="Arial" w:hAnsi="Arial" w:cs="Arial"/>
          <w:i/>
          <w:sz w:val="22"/>
          <w:szCs w:val="22"/>
        </w:rPr>
      </w:pPr>
    </w:p>
    <w:p w:rsidR="008B4C14" w:rsidRPr="00BA4458" w:rsidRDefault="008B4C14" w:rsidP="008B4C14">
      <w:pPr>
        <w:spacing w:line="276" w:lineRule="auto"/>
        <w:ind w:left="1416"/>
        <w:jc w:val="both"/>
        <w:rPr>
          <w:rFonts w:ascii="Arial" w:hAnsi="Arial" w:cs="Arial"/>
          <w:i/>
          <w:sz w:val="22"/>
          <w:szCs w:val="22"/>
        </w:rPr>
      </w:pPr>
      <w:r w:rsidRPr="00BA4458">
        <w:rPr>
          <w:rFonts w:ascii="Arial" w:hAnsi="Arial" w:cs="Arial"/>
          <w:i/>
          <w:sz w:val="22"/>
          <w:szCs w:val="22"/>
        </w:rPr>
        <w:t>1.- El acuerdo de recepción se elaborará el mismo día en que sea recibido el recurso por la Secretaría Ejecutiva.</w:t>
      </w:r>
    </w:p>
    <w:p w:rsidR="008B4C14" w:rsidRPr="00BA4458" w:rsidRDefault="008B4C14" w:rsidP="008B4C14">
      <w:pPr>
        <w:spacing w:line="276" w:lineRule="auto"/>
        <w:ind w:left="1416"/>
        <w:jc w:val="both"/>
        <w:rPr>
          <w:rFonts w:ascii="Arial" w:hAnsi="Arial" w:cs="Arial"/>
          <w:i/>
          <w:sz w:val="22"/>
          <w:szCs w:val="22"/>
        </w:rPr>
      </w:pPr>
    </w:p>
    <w:p w:rsidR="008B4C14" w:rsidRPr="00BA4458" w:rsidRDefault="008B4C14" w:rsidP="008B4C14">
      <w:pPr>
        <w:spacing w:line="276" w:lineRule="auto"/>
        <w:ind w:left="1416"/>
        <w:jc w:val="both"/>
        <w:rPr>
          <w:rFonts w:ascii="Arial" w:hAnsi="Arial" w:cs="Arial"/>
          <w:i/>
          <w:sz w:val="22"/>
          <w:szCs w:val="22"/>
        </w:rPr>
      </w:pPr>
      <w:r w:rsidRPr="00BA4458">
        <w:rPr>
          <w:rFonts w:ascii="Arial" w:hAnsi="Arial" w:cs="Arial"/>
          <w:i/>
          <w:sz w:val="22"/>
          <w:szCs w:val="22"/>
        </w:rPr>
        <w:t xml:space="preserve">2.- La Secretaría Ejecutiva hará del conocimiento del consejero o consejera, la asignación del recurso al día siguiente de su recepción, admitiendo el recurso de revisión y aquellas pruebas que sean ofrecidas por las partes conforme al artículo 81 de la Ley de la materia.  Respecto de las que a su juicio no se ajusten a dicho precepto legal, conforme lo ordena el artículo 72 de la Ley de la materia, dará vista al(a) Consejero(a) ponente a efecto de que en su caso, someta éstas a consideración del Consejo General, siendo el órgano garante quien resuelva sobre la admisión o no de dichas pruebas. </w:t>
      </w:r>
    </w:p>
    <w:p w:rsidR="008B4C14" w:rsidRPr="00BA4458" w:rsidRDefault="008B4C14" w:rsidP="008B4C14">
      <w:pPr>
        <w:spacing w:line="276" w:lineRule="auto"/>
        <w:ind w:left="1416"/>
        <w:jc w:val="both"/>
        <w:rPr>
          <w:rFonts w:ascii="Arial" w:hAnsi="Arial" w:cs="Arial"/>
          <w:i/>
          <w:sz w:val="22"/>
          <w:szCs w:val="22"/>
        </w:rPr>
      </w:pPr>
    </w:p>
    <w:p w:rsidR="008B4C14" w:rsidRPr="00BA4458" w:rsidRDefault="008B4C14" w:rsidP="008B4C14">
      <w:pPr>
        <w:spacing w:line="276" w:lineRule="auto"/>
        <w:ind w:left="708"/>
        <w:jc w:val="both"/>
        <w:rPr>
          <w:rFonts w:ascii="Arial" w:hAnsi="Arial" w:cs="Arial"/>
          <w:i/>
          <w:sz w:val="22"/>
          <w:szCs w:val="22"/>
        </w:rPr>
      </w:pPr>
      <w:r w:rsidRPr="00BA4458">
        <w:rPr>
          <w:rFonts w:ascii="Arial" w:hAnsi="Arial" w:cs="Arial"/>
          <w:i/>
          <w:sz w:val="22"/>
          <w:szCs w:val="22"/>
        </w:rPr>
        <w:t xml:space="preserve">En cualquier etapa del procedimiento el(a) Consejero(a) ponente podrá someter a la consideración del Consejo General los acuerdos necesarios para garantizar el derecho de acceso a la información pública y el de protección de datos personales. </w:t>
      </w:r>
    </w:p>
    <w:p w:rsidR="008B4C14" w:rsidRPr="00BA4458" w:rsidRDefault="008B4C14" w:rsidP="008B4C14">
      <w:pPr>
        <w:spacing w:line="276" w:lineRule="auto"/>
        <w:ind w:left="708"/>
        <w:jc w:val="both"/>
        <w:rPr>
          <w:rFonts w:ascii="Arial" w:hAnsi="Arial" w:cs="Arial"/>
          <w:i/>
          <w:sz w:val="22"/>
          <w:szCs w:val="22"/>
        </w:rPr>
      </w:pPr>
    </w:p>
    <w:p w:rsidR="008B4C14" w:rsidRPr="00BA4458" w:rsidRDefault="008B4C14" w:rsidP="008B4C14">
      <w:pPr>
        <w:spacing w:line="276" w:lineRule="auto"/>
        <w:ind w:left="708"/>
        <w:jc w:val="both"/>
        <w:rPr>
          <w:rFonts w:ascii="Arial" w:hAnsi="Arial" w:cs="Arial"/>
          <w:i/>
        </w:rPr>
      </w:pPr>
      <w:r w:rsidRPr="00BA4458">
        <w:rPr>
          <w:rFonts w:ascii="Arial" w:hAnsi="Arial" w:cs="Arial"/>
          <w:i/>
          <w:sz w:val="22"/>
          <w:szCs w:val="22"/>
        </w:rPr>
        <w:t>El(la) Consejero(a) ponente deberá someter el proyecto de resolución a la consideración del Consejo General dentro de los doce días hábiles siguientes a aquel en que le fue turnado el asunto, para lo cual lo remitirá al(o la) Consejero(a) Presidente(a) a efecto de que éste(a) lo incluya en el orden del día de la sesión que corresponda y remita copia del proyecto a los(las) demás Consejeros(as) para su estudio y discusión.</w:t>
      </w:r>
      <w:r>
        <w:rPr>
          <w:rFonts w:ascii="Arial" w:hAnsi="Arial" w:cs="Arial"/>
          <w:i/>
          <w:sz w:val="22"/>
          <w:szCs w:val="22"/>
        </w:rPr>
        <w:t>”</w:t>
      </w:r>
    </w:p>
    <w:p w:rsidR="008B4C14" w:rsidRPr="00040A57" w:rsidRDefault="008B4C14" w:rsidP="008B4C14">
      <w:pPr>
        <w:ind w:left="708"/>
        <w:jc w:val="both"/>
        <w:rPr>
          <w:rFonts w:ascii="Arial" w:hAnsi="Arial" w:cs="Arial"/>
        </w:rPr>
      </w:pPr>
    </w:p>
    <w:p w:rsidR="008B4C14" w:rsidRDefault="008B4C14" w:rsidP="008B4C14">
      <w:pPr>
        <w:spacing w:line="276" w:lineRule="auto"/>
        <w:jc w:val="center"/>
        <w:rPr>
          <w:rFonts w:ascii="Arial" w:hAnsi="Arial" w:cs="Arial"/>
          <w:b/>
        </w:rPr>
      </w:pPr>
    </w:p>
    <w:p w:rsidR="008B4C14" w:rsidRPr="0095461E" w:rsidRDefault="008B4C14" w:rsidP="008B4C14">
      <w:pPr>
        <w:spacing w:line="276" w:lineRule="auto"/>
        <w:jc w:val="center"/>
        <w:rPr>
          <w:rFonts w:ascii="Arial" w:hAnsi="Arial" w:cs="Arial"/>
          <w:b/>
        </w:rPr>
      </w:pPr>
      <w:r w:rsidRPr="0095461E">
        <w:rPr>
          <w:rFonts w:ascii="Arial" w:hAnsi="Arial" w:cs="Arial"/>
          <w:b/>
        </w:rPr>
        <w:t>TRANSITORIOS:</w:t>
      </w:r>
    </w:p>
    <w:p w:rsidR="008B4C14" w:rsidRDefault="008B4C14" w:rsidP="008B4C14">
      <w:pPr>
        <w:spacing w:line="276" w:lineRule="auto"/>
        <w:jc w:val="both"/>
        <w:rPr>
          <w:rFonts w:ascii="Arial" w:hAnsi="Arial" w:cs="Arial"/>
          <w:b/>
        </w:rPr>
      </w:pPr>
    </w:p>
    <w:p w:rsidR="008B4C14" w:rsidRPr="0095461E" w:rsidRDefault="008B4C14" w:rsidP="008B4C14">
      <w:pPr>
        <w:spacing w:line="276" w:lineRule="auto"/>
        <w:jc w:val="both"/>
        <w:rPr>
          <w:rFonts w:ascii="Arial" w:hAnsi="Arial" w:cs="Arial"/>
        </w:rPr>
      </w:pPr>
      <w:r w:rsidRPr="0095461E">
        <w:rPr>
          <w:rFonts w:ascii="Arial" w:hAnsi="Arial" w:cs="Arial"/>
          <w:b/>
        </w:rPr>
        <w:t>PRIMERO.-</w:t>
      </w:r>
      <w:r w:rsidRPr="0095461E">
        <w:rPr>
          <w:rFonts w:ascii="Arial" w:hAnsi="Arial" w:cs="Arial"/>
        </w:rPr>
        <w:t xml:space="preserve"> Este Acuerdo entrará en vigor al momento de su aprobación por el Consejo General.</w:t>
      </w:r>
    </w:p>
    <w:p w:rsidR="008B4C14" w:rsidRPr="0095461E" w:rsidRDefault="008B4C14" w:rsidP="008B4C14">
      <w:pPr>
        <w:spacing w:line="276" w:lineRule="auto"/>
        <w:jc w:val="both"/>
        <w:rPr>
          <w:rFonts w:ascii="Arial" w:hAnsi="Arial" w:cs="Arial"/>
        </w:rPr>
      </w:pPr>
    </w:p>
    <w:p w:rsidR="008B4C14" w:rsidRDefault="008B4C14" w:rsidP="008B4C14">
      <w:pPr>
        <w:jc w:val="both"/>
        <w:rPr>
          <w:rFonts w:ascii="Arial" w:hAnsi="Arial" w:cs="Arial"/>
        </w:rPr>
      </w:pPr>
      <w:r w:rsidRPr="00040A57">
        <w:rPr>
          <w:rFonts w:ascii="Arial" w:hAnsi="Arial" w:cs="Arial"/>
        </w:rPr>
        <w:lastRenderedPageBreak/>
        <w:t>Así lo acordó el Consejo General del Instituto Chihuahuense para la Transparencia y Acceso a la Información Pública, por</w:t>
      </w:r>
      <w:r>
        <w:rPr>
          <w:rFonts w:ascii="Arial" w:hAnsi="Arial" w:cs="Arial"/>
        </w:rPr>
        <w:t xml:space="preserve"> unanimidad de votos </w:t>
      </w:r>
      <w:r w:rsidRPr="00040A57">
        <w:rPr>
          <w:rFonts w:ascii="Arial" w:hAnsi="Arial" w:cs="Arial"/>
        </w:rPr>
        <w:t xml:space="preserve">en la Sesión </w:t>
      </w:r>
      <w:r>
        <w:rPr>
          <w:rFonts w:ascii="Arial" w:hAnsi="Arial" w:cs="Arial"/>
        </w:rPr>
        <w:t xml:space="preserve">Ordinaria </w:t>
      </w:r>
      <w:r w:rsidRPr="00040A57">
        <w:rPr>
          <w:rFonts w:ascii="Arial" w:hAnsi="Arial" w:cs="Arial"/>
        </w:rPr>
        <w:t xml:space="preserve">celebrada el día </w:t>
      </w:r>
      <w:r>
        <w:rPr>
          <w:rFonts w:ascii="Arial" w:hAnsi="Arial" w:cs="Arial"/>
        </w:rPr>
        <w:t>dieciséis de febrero del año dos mil once</w:t>
      </w:r>
      <w:r w:rsidRPr="00040A57">
        <w:rPr>
          <w:rFonts w:ascii="Arial" w:hAnsi="Arial" w:cs="Arial"/>
        </w:rPr>
        <w:t>.</w:t>
      </w:r>
    </w:p>
    <w:p w:rsidR="00726F05" w:rsidRPr="00040A57" w:rsidRDefault="00726F05" w:rsidP="008B4C14">
      <w:pPr>
        <w:jc w:val="both"/>
        <w:rPr>
          <w:rFonts w:ascii="Arial" w:hAnsi="Arial" w:cs="Arial"/>
        </w:rPr>
      </w:pPr>
    </w:p>
    <w:p w:rsidR="008B4C14" w:rsidRPr="00657263" w:rsidRDefault="008B4C14" w:rsidP="008B4C14">
      <w:pP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8"/>
      </w:tblGrid>
      <w:tr w:rsidR="00726F05" w:rsidTr="00726F05">
        <w:tc>
          <w:tcPr>
            <w:tcW w:w="9828" w:type="dxa"/>
          </w:tcPr>
          <w:tbl>
            <w:tblPr>
              <w:tblW w:w="0" w:type="auto"/>
              <w:tblLook w:val="01E0"/>
            </w:tblPr>
            <w:tblGrid>
              <w:gridCol w:w="4848"/>
              <w:gridCol w:w="4764"/>
            </w:tblGrid>
            <w:tr w:rsidR="00726F05" w:rsidRPr="00726F05" w:rsidTr="002562DC">
              <w:tc>
                <w:tcPr>
                  <w:tcW w:w="4914" w:type="dxa"/>
                </w:tcPr>
                <w:p w:rsidR="00726F05" w:rsidRPr="00726F05" w:rsidRDefault="00726F05" w:rsidP="002562DC">
                  <w:pPr>
                    <w:jc w:val="center"/>
                    <w:rPr>
                      <w:rFonts w:ascii="Arial" w:hAnsi="Arial" w:cs="Arial"/>
                      <w:b/>
                    </w:rPr>
                  </w:pPr>
                  <w:r w:rsidRPr="00726F05">
                    <w:rPr>
                      <w:rFonts w:ascii="Arial" w:hAnsi="Arial" w:cs="Arial"/>
                      <w:b/>
                    </w:rPr>
                    <w:drawing>
                      <wp:inline distT="0" distB="0" distL="0" distR="0">
                        <wp:extent cx="2420572" cy="885826"/>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5" name="Picture 27"/>
                                <pic:cNvPicPr>
                                  <a:picLocks noChangeAspect="1" noChangeArrowheads="1"/>
                                </pic:cNvPicPr>
                              </pic:nvPicPr>
                              <pic:blipFill>
                                <a:blip r:embed="rId6"/>
                                <a:srcRect/>
                                <a:stretch>
                                  <a:fillRect/>
                                </a:stretch>
                              </pic:blipFill>
                              <pic:spPr bwMode="auto">
                                <a:xfrm>
                                  <a:off x="0" y="0"/>
                                  <a:ext cx="2420572" cy="885826"/>
                                </a:xfrm>
                                <a:prstGeom prst="rect">
                                  <a:avLst/>
                                </a:prstGeom>
                                <a:noFill/>
                                <a:ln w="9525">
                                  <a:noFill/>
                                  <a:miter lim="800000"/>
                                  <a:headEnd/>
                                  <a:tailEnd/>
                                </a:ln>
                              </pic:spPr>
                            </pic:pic>
                          </a:graphicData>
                        </a:graphic>
                      </wp:inline>
                    </w:drawing>
                  </w:r>
                </w:p>
                <w:p w:rsidR="00726F05" w:rsidRPr="00726F05" w:rsidRDefault="00726F05" w:rsidP="002562DC">
                  <w:pPr>
                    <w:jc w:val="center"/>
                    <w:rPr>
                      <w:rFonts w:ascii="Arial" w:hAnsi="Arial" w:cs="Arial"/>
                      <w:b/>
                    </w:rPr>
                  </w:pPr>
                </w:p>
              </w:tc>
              <w:tc>
                <w:tcPr>
                  <w:tcW w:w="4914" w:type="dxa"/>
                </w:tcPr>
                <w:p w:rsidR="00726F05" w:rsidRPr="00726F05" w:rsidRDefault="00726F05" w:rsidP="002562DC">
                  <w:pPr>
                    <w:jc w:val="center"/>
                    <w:rPr>
                      <w:rFonts w:ascii="Arial" w:hAnsi="Arial" w:cs="Arial"/>
                      <w:b/>
                    </w:rPr>
                  </w:pPr>
                </w:p>
                <w:p w:rsidR="00726F05" w:rsidRPr="00726F05" w:rsidRDefault="00726F05" w:rsidP="002562DC">
                  <w:pPr>
                    <w:jc w:val="center"/>
                    <w:rPr>
                      <w:rFonts w:ascii="Arial" w:hAnsi="Arial" w:cs="Arial"/>
                      <w:b/>
                    </w:rPr>
                  </w:pPr>
                  <w:r w:rsidRPr="00726F05">
                    <w:rPr>
                      <w:rFonts w:ascii="Arial" w:hAnsi="Arial" w:cs="Arial"/>
                      <w:b/>
                    </w:rPr>
                    <w:drawing>
                      <wp:inline distT="0" distB="0" distL="0" distR="0">
                        <wp:extent cx="1733550" cy="657225"/>
                        <wp:effectExtent l="19050" t="0" r="0" b="0"/>
                        <wp:docPr id="9" name="Imagen 2"/>
                        <wp:cNvGraphicFramePr/>
                        <a:graphic xmlns:a="http://schemas.openxmlformats.org/drawingml/2006/main">
                          <a:graphicData uri="http://schemas.openxmlformats.org/drawingml/2006/picture">
                            <pic:pic xmlns:pic="http://schemas.openxmlformats.org/drawingml/2006/picture">
                              <pic:nvPicPr>
                                <pic:cNvPr id="6" name="Picture 31"/>
                                <pic:cNvPicPr>
                                  <a:picLocks noChangeAspect="1" noChangeArrowheads="1"/>
                                </pic:cNvPicPr>
                              </pic:nvPicPr>
                              <pic:blipFill>
                                <a:blip r:embed="rId7"/>
                                <a:srcRect/>
                                <a:stretch>
                                  <a:fillRect/>
                                </a:stretch>
                              </pic:blipFill>
                              <pic:spPr bwMode="auto">
                                <a:xfrm>
                                  <a:off x="0" y="0"/>
                                  <a:ext cx="1733550" cy="657225"/>
                                </a:xfrm>
                                <a:prstGeom prst="rect">
                                  <a:avLst/>
                                </a:prstGeom>
                                <a:noFill/>
                                <a:ln w="9525">
                                  <a:noFill/>
                                  <a:miter lim="800000"/>
                                  <a:headEnd/>
                                  <a:tailEnd/>
                                </a:ln>
                              </pic:spPr>
                            </pic:pic>
                          </a:graphicData>
                        </a:graphic>
                      </wp:inline>
                    </w:drawing>
                  </w:r>
                </w:p>
                <w:p w:rsidR="00726F05" w:rsidRPr="00726F05" w:rsidRDefault="00726F05" w:rsidP="002562DC">
                  <w:pPr>
                    <w:jc w:val="center"/>
                    <w:rPr>
                      <w:rFonts w:ascii="Arial" w:hAnsi="Arial" w:cs="Arial"/>
                      <w:b/>
                    </w:rPr>
                  </w:pPr>
                </w:p>
              </w:tc>
            </w:tr>
            <w:tr w:rsidR="00726F05" w:rsidRPr="00726F05" w:rsidTr="002562DC">
              <w:tc>
                <w:tcPr>
                  <w:tcW w:w="4914" w:type="dxa"/>
                </w:tcPr>
                <w:p w:rsidR="00726F05" w:rsidRPr="00726F05" w:rsidRDefault="00726F05" w:rsidP="002562DC">
                  <w:pPr>
                    <w:jc w:val="center"/>
                    <w:rPr>
                      <w:rFonts w:ascii="Arial" w:hAnsi="Arial" w:cs="Arial"/>
                      <w:b/>
                    </w:rPr>
                  </w:pPr>
                  <w:r w:rsidRPr="00726F05">
                    <w:rPr>
                      <w:rFonts w:ascii="Arial" w:hAnsi="Arial" w:cs="Arial"/>
                      <w:b/>
                      <w:sz w:val="22"/>
                      <w:szCs w:val="22"/>
                    </w:rPr>
                    <w:t>LIC. ENRIQUE MEDINA REYES</w:t>
                  </w:r>
                </w:p>
                <w:p w:rsidR="00726F05" w:rsidRPr="00726F05" w:rsidRDefault="00726F05" w:rsidP="002562DC">
                  <w:pPr>
                    <w:jc w:val="center"/>
                    <w:rPr>
                      <w:rFonts w:ascii="Arial" w:hAnsi="Arial" w:cs="Arial"/>
                      <w:b/>
                    </w:rPr>
                  </w:pPr>
                  <w:r w:rsidRPr="00726F05">
                    <w:rPr>
                      <w:rFonts w:ascii="Arial" w:hAnsi="Arial" w:cs="Arial"/>
                      <w:b/>
                      <w:sz w:val="22"/>
                      <w:szCs w:val="22"/>
                    </w:rPr>
                    <w:t>CONSEJERO PRESIDENTE</w:t>
                  </w:r>
                </w:p>
              </w:tc>
              <w:tc>
                <w:tcPr>
                  <w:tcW w:w="4914" w:type="dxa"/>
                </w:tcPr>
                <w:p w:rsidR="00726F05" w:rsidRPr="00726F05" w:rsidRDefault="00726F05" w:rsidP="002562DC">
                  <w:pPr>
                    <w:jc w:val="center"/>
                    <w:rPr>
                      <w:rFonts w:ascii="Arial" w:hAnsi="Arial" w:cs="Arial"/>
                      <w:b/>
                    </w:rPr>
                  </w:pPr>
                  <w:r w:rsidRPr="00726F05">
                    <w:rPr>
                      <w:rFonts w:ascii="Arial" w:hAnsi="Arial" w:cs="Arial"/>
                      <w:b/>
                      <w:sz w:val="22"/>
                      <w:szCs w:val="22"/>
                    </w:rPr>
                    <w:t>LIC. JORGE ALBERTO AGUILAR LUJAN</w:t>
                  </w:r>
                </w:p>
                <w:p w:rsidR="00726F05" w:rsidRPr="00726F05" w:rsidRDefault="00726F05" w:rsidP="002562DC">
                  <w:pPr>
                    <w:jc w:val="center"/>
                    <w:rPr>
                      <w:rFonts w:ascii="Arial" w:hAnsi="Arial" w:cs="Arial"/>
                      <w:b/>
                    </w:rPr>
                  </w:pPr>
                  <w:r w:rsidRPr="00726F05">
                    <w:rPr>
                      <w:rFonts w:ascii="Arial" w:hAnsi="Arial" w:cs="Arial"/>
                      <w:b/>
                      <w:sz w:val="22"/>
                      <w:szCs w:val="22"/>
                    </w:rPr>
                    <w:t>SECRETARIO EJECUTIVO</w:t>
                  </w:r>
                </w:p>
              </w:tc>
            </w:tr>
          </w:tbl>
          <w:p w:rsidR="00726F05" w:rsidRDefault="00726F05"/>
        </w:tc>
      </w:tr>
    </w:tbl>
    <w:p w:rsidR="008B4C14" w:rsidRDefault="008B4C14" w:rsidP="008B4C14"/>
    <w:p w:rsidR="00C73E7D" w:rsidRPr="008B4C14" w:rsidRDefault="00C73E7D" w:rsidP="008B4C14"/>
    <w:sectPr w:rsidR="00C73E7D" w:rsidRPr="008B4C14" w:rsidSect="006C63D8">
      <w:headerReference w:type="default" r:id="rId8"/>
      <w:footerReference w:type="even" r:id="rId9"/>
      <w:footerReference w:type="default" r:id="rId10"/>
      <w:pgSz w:w="12240" w:h="15840" w:code="1"/>
      <w:pgMar w:top="567" w:right="1134" w:bottom="709" w:left="1418"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13B" w:rsidRDefault="006B113B">
      <w:r>
        <w:separator/>
      </w:r>
    </w:p>
  </w:endnote>
  <w:endnote w:type="continuationSeparator" w:id="1">
    <w:p w:rsidR="006B113B" w:rsidRDefault="006B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5E" w:rsidRDefault="00101372" w:rsidP="00B151BE">
    <w:pPr>
      <w:pStyle w:val="Piedepgina"/>
      <w:framePr w:wrap="around" w:vAnchor="text" w:hAnchor="margin" w:xAlign="right" w:y="1"/>
      <w:rPr>
        <w:rStyle w:val="Nmerodepgina"/>
      </w:rPr>
    </w:pPr>
    <w:r>
      <w:rPr>
        <w:rStyle w:val="Nmerodepgina"/>
      </w:rPr>
      <w:fldChar w:fldCharType="begin"/>
    </w:r>
    <w:r w:rsidR="0030095E">
      <w:rPr>
        <w:rStyle w:val="Nmerodepgina"/>
      </w:rPr>
      <w:instrText xml:space="preserve">PAGE  </w:instrText>
    </w:r>
    <w:r>
      <w:rPr>
        <w:rStyle w:val="Nmerodepgina"/>
      </w:rPr>
      <w:fldChar w:fldCharType="end"/>
    </w:r>
  </w:p>
  <w:p w:rsidR="0030095E" w:rsidRDefault="0030095E" w:rsidP="00B151B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5E" w:rsidRDefault="00101372" w:rsidP="00B151BE">
    <w:pPr>
      <w:pStyle w:val="Piedepgina"/>
      <w:framePr w:wrap="around" w:vAnchor="text" w:hAnchor="margin" w:xAlign="right" w:y="1"/>
      <w:rPr>
        <w:rStyle w:val="Nmerodepgina"/>
      </w:rPr>
    </w:pPr>
    <w:r>
      <w:rPr>
        <w:rStyle w:val="Nmerodepgina"/>
      </w:rPr>
      <w:fldChar w:fldCharType="begin"/>
    </w:r>
    <w:r w:rsidR="0030095E">
      <w:rPr>
        <w:rStyle w:val="Nmerodepgina"/>
      </w:rPr>
      <w:instrText xml:space="preserve">PAGE  </w:instrText>
    </w:r>
    <w:r>
      <w:rPr>
        <w:rStyle w:val="Nmerodepgina"/>
      </w:rPr>
      <w:fldChar w:fldCharType="separate"/>
    </w:r>
    <w:r w:rsidR="00726F05">
      <w:rPr>
        <w:rStyle w:val="Nmerodepgina"/>
        <w:noProof/>
      </w:rPr>
      <w:t>4</w:t>
    </w:r>
    <w:r>
      <w:rPr>
        <w:rStyle w:val="Nmerodepgina"/>
      </w:rPr>
      <w:fldChar w:fldCharType="end"/>
    </w:r>
  </w:p>
  <w:p w:rsidR="0030095E" w:rsidRPr="00AC61EB" w:rsidRDefault="00101372">
    <w:pPr>
      <w:rPr>
        <w:sz w:val="10"/>
        <w:szCs w:val="10"/>
      </w:rPr>
    </w:pPr>
    <w:r w:rsidRPr="00101372">
      <w:rPr>
        <w:noProof/>
        <w:lang w:val="en-US" w:eastAsia="en-US"/>
      </w:rPr>
      <w:pict>
        <v:line id="_x0000_s2050" style="position:absolute;z-index:251658240" from="0,2.45pt" to="486pt,2.45pt" strokeweight="1pt"/>
      </w:pict>
    </w:r>
  </w:p>
  <w:tbl>
    <w:tblPr>
      <w:tblW w:w="9720" w:type="dxa"/>
      <w:tblInd w:w="108" w:type="dxa"/>
      <w:tblLook w:val="00BF"/>
    </w:tblPr>
    <w:tblGrid>
      <w:gridCol w:w="2340"/>
      <w:gridCol w:w="4500"/>
      <w:gridCol w:w="2880"/>
    </w:tblGrid>
    <w:tr w:rsidR="0030095E" w:rsidRPr="00AB587A" w:rsidTr="00B151BE">
      <w:tc>
        <w:tcPr>
          <w:tcW w:w="2340" w:type="dxa"/>
        </w:tcPr>
        <w:p w:rsidR="0030095E" w:rsidRPr="00AB587A" w:rsidRDefault="0030095E" w:rsidP="00B151BE">
          <w:pPr>
            <w:pStyle w:val="Piedepgina"/>
            <w:jc w:val="center"/>
            <w:rPr>
              <w:rFonts w:ascii="Lucida Sans" w:hAnsi="Lucida Sans"/>
              <w:sz w:val="18"/>
              <w:szCs w:val="18"/>
            </w:rPr>
          </w:pPr>
          <w:r w:rsidRPr="00AB587A">
            <w:rPr>
              <w:rFonts w:ascii="Lucida Sans" w:hAnsi="Lucida Sans"/>
              <w:sz w:val="18"/>
              <w:szCs w:val="18"/>
            </w:rPr>
            <w:t>Calle Ahuehuete No. 717</w:t>
          </w:r>
        </w:p>
      </w:tc>
      <w:tc>
        <w:tcPr>
          <w:tcW w:w="4500" w:type="dxa"/>
        </w:tcPr>
        <w:p w:rsidR="0030095E" w:rsidRPr="00AB587A" w:rsidRDefault="0030095E" w:rsidP="00B151BE">
          <w:pPr>
            <w:pStyle w:val="Piedepgina"/>
            <w:jc w:val="center"/>
            <w:rPr>
              <w:rFonts w:ascii="Lucida Sans" w:hAnsi="Lucida Sans"/>
              <w:sz w:val="18"/>
              <w:szCs w:val="18"/>
            </w:rPr>
          </w:pPr>
          <w:r w:rsidRPr="00AB587A">
            <w:rPr>
              <w:rFonts w:ascii="Lucida Sans" w:hAnsi="Lucida Sans"/>
              <w:sz w:val="18"/>
              <w:szCs w:val="18"/>
            </w:rPr>
            <w:t>Col. Universidad, C. P. 31106, Chihuahua, Chih., México</w:t>
          </w:r>
        </w:p>
      </w:tc>
      <w:tc>
        <w:tcPr>
          <w:tcW w:w="2880" w:type="dxa"/>
        </w:tcPr>
        <w:p w:rsidR="0030095E" w:rsidRPr="00AB587A" w:rsidRDefault="0030095E" w:rsidP="00B151BE">
          <w:pPr>
            <w:pStyle w:val="Piedepgina"/>
            <w:jc w:val="center"/>
            <w:rPr>
              <w:rFonts w:ascii="Lucida Sans" w:hAnsi="Lucida Sans"/>
              <w:sz w:val="18"/>
              <w:szCs w:val="18"/>
            </w:rPr>
          </w:pPr>
          <w:r w:rsidRPr="00AB587A">
            <w:rPr>
              <w:rFonts w:ascii="Lucida Sans" w:hAnsi="Lucida Sans"/>
              <w:sz w:val="18"/>
              <w:szCs w:val="18"/>
            </w:rPr>
            <w:t>Conmutador: (614) 201 3300</w:t>
          </w:r>
        </w:p>
        <w:p w:rsidR="0030095E" w:rsidRPr="00AB587A" w:rsidRDefault="0030095E" w:rsidP="00B151BE">
          <w:pPr>
            <w:pStyle w:val="Piedepgina"/>
            <w:jc w:val="center"/>
            <w:rPr>
              <w:rFonts w:ascii="Lucida Sans" w:hAnsi="Lucida Sans"/>
              <w:sz w:val="18"/>
              <w:szCs w:val="18"/>
            </w:rPr>
          </w:pPr>
          <w:r w:rsidRPr="00AB587A">
            <w:rPr>
              <w:rFonts w:ascii="Lucida Sans" w:hAnsi="Lucida Sans"/>
              <w:sz w:val="18"/>
              <w:szCs w:val="18"/>
            </w:rPr>
            <w:t>Fax (614) 201 3301</w:t>
          </w:r>
        </w:p>
        <w:p w:rsidR="0030095E" w:rsidRPr="00AB587A" w:rsidRDefault="0030095E" w:rsidP="00B151BE">
          <w:pPr>
            <w:pStyle w:val="Piedepgina"/>
            <w:jc w:val="center"/>
            <w:rPr>
              <w:rFonts w:ascii="Lucida Sans" w:hAnsi="Lucida Sans"/>
              <w:sz w:val="18"/>
              <w:szCs w:val="18"/>
            </w:rPr>
          </w:pPr>
          <w:r w:rsidRPr="00AB587A">
            <w:rPr>
              <w:rFonts w:ascii="Lucida Sans" w:hAnsi="Lucida Sans"/>
              <w:sz w:val="18"/>
              <w:szCs w:val="18"/>
            </w:rPr>
            <w:t>01 800 300 2525</w:t>
          </w:r>
        </w:p>
      </w:tc>
    </w:tr>
    <w:tr w:rsidR="0030095E" w:rsidRPr="00AB587A" w:rsidTr="00B151BE">
      <w:tc>
        <w:tcPr>
          <w:tcW w:w="9720" w:type="dxa"/>
          <w:gridSpan w:val="3"/>
        </w:tcPr>
        <w:p w:rsidR="0030095E" w:rsidRPr="00AB587A" w:rsidRDefault="0030095E" w:rsidP="00B151BE">
          <w:pPr>
            <w:pStyle w:val="Piedepgina"/>
            <w:jc w:val="center"/>
            <w:rPr>
              <w:rFonts w:ascii="Lucida Sans" w:hAnsi="Lucida Sans"/>
              <w:sz w:val="18"/>
              <w:szCs w:val="18"/>
            </w:rPr>
          </w:pPr>
          <w:r w:rsidRPr="00AB587A">
            <w:rPr>
              <w:rFonts w:ascii="Lucida Sans" w:hAnsi="Lucida Sans"/>
              <w:sz w:val="18"/>
              <w:szCs w:val="18"/>
            </w:rPr>
            <w:t>www.ichitaip.org.mx</w:t>
          </w:r>
        </w:p>
      </w:tc>
    </w:tr>
  </w:tbl>
  <w:p w:rsidR="0030095E" w:rsidRPr="006F4AEA" w:rsidRDefault="0030095E" w:rsidP="00B151BE">
    <w:pPr>
      <w:pStyle w:val="Piedepgina"/>
      <w:jc w:val="right"/>
      <w:rPr>
        <w:rFonts w:ascii="Lucida Sans" w:hAnsi="Lucida Sans"/>
        <w:color w:val="808080"/>
        <w:sz w:val="18"/>
        <w:szCs w:val="18"/>
      </w:rPr>
    </w:pPr>
    <w:r w:rsidRPr="006F4AEA">
      <w:rPr>
        <w:rFonts w:ascii="Lucida Sans" w:hAnsi="Lucida Sans"/>
        <w:color w:val="808080"/>
        <w:sz w:val="18"/>
        <w:szCs w:val="18"/>
      </w:rPr>
      <w:t>F-13-01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13B" w:rsidRDefault="006B113B">
      <w:r>
        <w:separator/>
      </w:r>
    </w:p>
  </w:footnote>
  <w:footnote w:type="continuationSeparator" w:id="1">
    <w:p w:rsidR="006B113B" w:rsidRDefault="006B1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5E" w:rsidRDefault="0030095E">
    <w:pPr>
      <w:pStyle w:val="Encabezado"/>
    </w:pPr>
  </w:p>
  <w:tbl>
    <w:tblPr>
      <w:tblW w:w="0" w:type="auto"/>
      <w:tblLook w:val="00A0"/>
    </w:tblPr>
    <w:tblGrid>
      <w:gridCol w:w="4914"/>
      <w:gridCol w:w="4914"/>
    </w:tblGrid>
    <w:tr w:rsidR="0030095E" w:rsidTr="00B151BE">
      <w:tc>
        <w:tcPr>
          <w:tcW w:w="4914" w:type="dxa"/>
        </w:tcPr>
        <w:p w:rsidR="0030095E" w:rsidRDefault="00207918">
          <w:pPr>
            <w:pStyle w:val="Encabezado"/>
          </w:pPr>
          <w:r>
            <w:rPr>
              <w:noProof/>
              <w:lang w:eastAsia="es-MX"/>
            </w:rPr>
            <w:drawing>
              <wp:inline distT="0" distB="0" distL="0" distR="0">
                <wp:extent cx="1895475" cy="9048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895475" cy="904875"/>
                        </a:xfrm>
                        <a:prstGeom prst="rect">
                          <a:avLst/>
                        </a:prstGeom>
                        <a:noFill/>
                        <a:ln w="9525">
                          <a:noFill/>
                          <a:miter lim="800000"/>
                          <a:headEnd/>
                          <a:tailEnd/>
                        </a:ln>
                      </pic:spPr>
                    </pic:pic>
                  </a:graphicData>
                </a:graphic>
              </wp:inline>
            </w:drawing>
          </w:r>
        </w:p>
      </w:tc>
      <w:tc>
        <w:tcPr>
          <w:tcW w:w="4914" w:type="dxa"/>
        </w:tcPr>
        <w:p w:rsidR="0030095E" w:rsidRPr="00D6485C" w:rsidRDefault="008B4C14" w:rsidP="00B151BE">
          <w:pPr>
            <w:pStyle w:val="Encabezado"/>
            <w:jc w:val="right"/>
            <w:rPr>
              <w:rFonts w:ascii="Arial" w:hAnsi="Arial" w:cs="Arial"/>
              <w:b/>
              <w:sz w:val="16"/>
              <w:szCs w:val="16"/>
            </w:rPr>
          </w:pPr>
          <w:r>
            <w:rPr>
              <w:rFonts w:ascii="Arial" w:hAnsi="Arial" w:cs="Arial"/>
              <w:b/>
              <w:sz w:val="16"/>
              <w:szCs w:val="16"/>
            </w:rPr>
            <w:t>ACUERDO/CG-</w:t>
          </w:r>
          <w:r w:rsidR="00820B2C">
            <w:rPr>
              <w:rFonts w:ascii="Arial" w:hAnsi="Arial" w:cs="Arial"/>
              <w:b/>
              <w:sz w:val="16"/>
              <w:szCs w:val="16"/>
            </w:rPr>
            <w:t>0</w:t>
          </w:r>
          <w:r>
            <w:rPr>
              <w:rFonts w:ascii="Arial" w:hAnsi="Arial" w:cs="Arial"/>
              <w:b/>
              <w:sz w:val="16"/>
              <w:szCs w:val="16"/>
            </w:rPr>
            <w:t>11</w:t>
          </w:r>
          <w:r w:rsidR="00D6485C" w:rsidRPr="00D6485C">
            <w:rPr>
              <w:rFonts w:ascii="Arial" w:hAnsi="Arial" w:cs="Arial"/>
              <w:b/>
              <w:sz w:val="16"/>
              <w:szCs w:val="16"/>
            </w:rPr>
            <w:t>/2011</w:t>
          </w:r>
        </w:p>
      </w:tc>
    </w:tr>
  </w:tbl>
  <w:p w:rsidR="0030095E" w:rsidRDefault="00101372">
    <w:pPr>
      <w:pStyle w:val="Encabezado"/>
    </w:pPr>
    <w:r w:rsidRPr="00101372">
      <w:rPr>
        <w:noProof/>
        <w:lang w:val="en-US" w:eastAsia="en-US"/>
      </w:rPr>
      <w:pict>
        <v:line id="_x0000_s2049" style="position:absolute;z-index:251657216;mso-position-horizontal-relative:text;mso-position-vertical-relative:text" from="0,3.5pt" to="486pt,3.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B151BE"/>
    <w:rsid w:val="000602A4"/>
    <w:rsid w:val="00063DF9"/>
    <w:rsid w:val="00081435"/>
    <w:rsid w:val="000B04F6"/>
    <w:rsid w:val="000C2267"/>
    <w:rsid w:val="000E2ACB"/>
    <w:rsid w:val="00101372"/>
    <w:rsid w:val="00172E68"/>
    <w:rsid w:val="001804F7"/>
    <w:rsid w:val="001977A6"/>
    <w:rsid w:val="001C1729"/>
    <w:rsid w:val="00207447"/>
    <w:rsid w:val="00207918"/>
    <w:rsid w:val="002D069D"/>
    <w:rsid w:val="002F3129"/>
    <w:rsid w:val="0030095E"/>
    <w:rsid w:val="00362D07"/>
    <w:rsid w:val="0038552F"/>
    <w:rsid w:val="003B073C"/>
    <w:rsid w:val="003B29F5"/>
    <w:rsid w:val="003C6F7C"/>
    <w:rsid w:val="00464570"/>
    <w:rsid w:val="004805EA"/>
    <w:rsid w:val="004B2A61"/>
    <w:rsid w:val="004C6AE5"/>
    <w:rsid w:val="00545820"/>
    <w:rsid w:val="00547670"/>
    <w:rsid w:val="005C3CC9"/>
    <w:rsid w:val="00657263"/>
    <w:rsid w:val="006B113B"/>
    <w:rsid w:val="006C5C02"/>
    <w:rsid w:val="006C63D8"/>
    <w:rsid w:val="006E7FB8"/>
    <w:rsid w:val="006F4AEA"/>
    <w:rsid w:val="00726F05"/>
    <w:rsid w:val="00741DB0"/>
    <w:rsid w:val="007C2BD0"/>
    <w:rsid w:val="0080197F"/>
    <w:rsid w:val="00820B2C"/>
    <w:rsid w:val="008650C4"/>
    <w:rsid w:val="00875F71"/>
    <w:rsid w:val="00892AD4"/>
    <w:rsid w:val="008A1FDA"/>
    <w:rsid w:val="008B4C14"/>
    <w:rsid w:val="008E1807"/>
    <w:rsid w:val="008F13F6"/>
    <w:rsid w:val="0090088C"/>
    <w:rsid w:val="00921493"/>
    <w:rsid w:val="00951487"/>
    <w:rsid w:val="009B5A02"/>
    <w:rsid w:val="009C28CB"/>
    <w:rsid w:val="00A12092"/>
    <w:rsid w:val="00A437D0"/>
    <w:rsid w:val="00A6502A"/>
    <w:rsid w:val="00A83830"/>
    <w:rsid w:val="00A8712C"/>
    <w:rsid w:val="00AB3F91"/>
    <w:rsid w:val="00AB4F5B"/>
    <w:rsid w:val="00AB587A"/>
    <w:rsid w:val="00AC61EB"/>
    <w:rsid w:val="00AE79EA"/>
    <w:rsid w:val="00B01AA4"/>
    <w:rsid w:val="00B151BE"/>
    <w:rsid w:val="00B438E8"/>
    <w:rsid w:val="00B45252"/>
    <w:rsid w:val="00BC126E"/>
    <w:rsid w:val="00C2634C"/>
    <w:rsid w:val="00C477A9"/>
    <w:rsid w:val="00C70820"/>
    <w:rsid w:val="00C73E7D"/>
    <w:rsid w:val="00C86FCB"/>
    <w:rsid w:val="00CD5504"/>
    <w:rsid w:val="00CD6BAA"/>
    <w:rsid w:val="00CF3FB6"/>
    <w:rsid w:val="00D308E2"/>
    <w:rsid w:val="00D6485C"/>
    <w:rsid w:val="00D94F46"/>
    <w:rsid w:val="00DD3E8A"/>
    <w:rsid w:val="00DE7B33"/>
    <w:rsid w:val="00E34A5E"/>
    <w:rsid w:val="00E45C48"/>
    <w:rsid w:val="00E73D7F"/>
    <w:rsid w:val="00EA750D"/>
    <w:rsid w:val="00EC0255"/>
    <w:rsid w:val="00F0372C"/>
    <w:rsid w:val="00F23619"/>
    <w:rsid w:val="00F244BD"/>
    <w:rsid w:val="00F36A1E"/>
    <w:rsid w:val="00F477C3"/>
    <w:rsid w:val="00F760E0"/>
    <w:rsid w:val="00FA46D8"/>
    <w:rsid w:val="00FD548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BE"/>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51BE"/>
    <w:pPr>
      <w:tabs>
        <w:tab w:val="center" w:pos="4419"/>
        <w:tab w:val="right" w:pos="8838"/>
      </w:tabs>
    </w:pPr>
  </w:style>
  <w:style w:type="character" w:customStyle="1" w:styleId="EncabezadoCar">
    <w:name w:val="Encabezado Car"/>
    <w:basedOn w:val="Fuentedeprrafopredeter"/>
    <w:link w:val="Encabezado"/>
    <w:uiPriority w:val="99"/>
    <w:semiHidden/>
    <w:rsid w:val="00552BDE"/>
    <w:rPr>
      <w:sz w:val="24"/>
      <w:szCs w:val="24"/>
      <w:lang w:val="es-MX" w:eastAsia="es-ES"/>
    </w:rPr>
  </w:style>
  <w:style w:type="paragraph" w:styleId="Piedepgina">
    <w:name w:val="footer"/>
    <w:basedOn w:val="Normal"/>
    <w:link w:val="PiedepginaCar"/>
    <w:uiPriority w:val="99"/>
    <w:rsid w:val="00B151BE"/>
    <w:pPr>
      <w:tabs>
        <w:tab w:val="center" w:pos="4419"/>
        <w:tab w:val="right" w:pos="8838"/>
      </w:tabs>
    </w:pPr>
  </w:style>
  <w:style w:type="character" w:customStyle="1" w:styleId="PiedepginaCar">
    <w:name w:val="Pie de página Car"/>
    <w:basedOn w:val="Fuentedeprrafopredeter"/>
    <w:link w:val="Piedepgina"/>
    <w:uiPriority w:val="99"/>
    <w:semiHidden/>
    <w:rsid w:val="00552BDE"/>
    <w:rPr>
      <w:sz w:val="24"/>
      <w:szCs w:val="24"/>
      <w:lang w:val="es-MX" w:eastAsia="es-ES"/>
    </w:rPr>
  </w:style>
  <w:style w:type="table" w:styleId="Tablaconcuadrcula">
    <w:name w:val="Table Grid"/>
    <w:basedOn w:val="Tablanormal"/>
    <w:rsid w:val="00B1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B151BE"/>
    <w:rPr>
      <w:rFonts w:cs="Times New Roman"/>
    </w:rPr>
  </w:style>
  <w:style w:type="paragraph" w:styleId="Textodeglobo">
    <w:name w:val="Balloon Text"/>
    <w:basedOn w:val="Normal"/>
    <w:link w:val="TextodegloboCar"/>
    <w:uiPriority w:val="99"/>
    <w:rsid w:val="00547670"/>
    <w:rPr>
      <w:rFonts w:ascii="Tahoma" w:hAnsi="Tahoma" w:cs="Tahoma"/>
      <w:sz w:val="16"/>
      <w:szCs w:val="16"/>
    </w:rPr>
  </w:style>
  <w:style w:type="character" w:customStyle="1" w:styleId="TextodegloboCar">
    <w:name w:val="Texto de globo Car"/>
    <w:basedOn w:val="Fuentedeprrafopredeter"/>
    <w:link w:val="Textodeglobo"/>
    <w:uiPriority w:val="99"/>
    <w:locked/>
    <w:rsid w:val="00547670"/>
    <w:rPr>
      <w:rFonts w:ascii="Tahoma" w:hAnsi="Tahoma" w:cs="Tahoma"/>
      <w:sz w:val="16"/>
      <w:szCs w:val="16"/>
      <w:lang w:eastAsia="es-ES"/>
    </w:rPr>
  </w:style>
  <w:style w:type="paragraph" w:styleId="Prrafodelista">
    <w:name w:val="List Paragraph"/>
    <w:basedOn w:val="Normal"/>
    <w:uiPriority w:val="34"/>
    <w:qFormat/>
    <w:rsid w:val="007C2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1010</Words>
  <Characters>5560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EL CONSEJO GENERAL DEL INSTITUTO CHIHUAHUENSE PARA LA TRANSPARENCIA Y ACCESO A LA INFORMACIÓN PÚBLICA, EN EJERCICIO DE SUS ATRIBUCIONES EXPIDE EL PRESENTE ACUERDO CON BASE EN LOS SIGUIENTES:</vt:lpstr>
    </vt:vector>
  </TitlesOfParts>
  <Company>ICHITAIP</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CONSEJO GENERAL DEL INSTITUTO CHIHUAHUENSE PARA LA TRANSPARENCIA Y ACCESO A LA INFORMACIÓN PÚBLICA, EN EJERCICIO DE SUS ATRIBUCIONES EXPIDE EL PRESENTE ACUERDO CON BASE EN LOS SIGUIENTES:</dc:title>
  <dc:subject/>
  <dc:creator>Ignacio Holguin Rodriguez</dc:creator>
  <cp:keywords/>
  <dc:description/>
  <cp:lastModifiedBy>ICHITAIP0168</cp:lastModifiedBy>
  <cp:revision>4</cp:revision>
  <cp:lastPrinted>2011-02-11T21:12:00Z</cp:lastPrinted>
  <dcterms:created xsi:type="dcterms:W3CDTF">2011-02-24T21:21:00Z</dcterms:created>
  <dcterms:modified xsi:type="dcterms:W3CDTF">2011-04-19T19:42:00Z</dcterms:modified>
</cp:coreProperties>
</file>