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4D5F" w:rsidRDefault="00974D5F" w:rsidP="00974D5F">
      <w:pPr>
        <w:jc w:val="both"/>
        <w:rPr>
          <w:rFonts w:ascii="Arial" w:hAnsi="Arial" w:cs="Arial"/>
          <w:b/>
        </w:rPr>
      </w:pPr>
      <w:r w:rsidRPr="00974D5F">
        <w:rPr>
          <w:rFonts w:ascii="Arial" w:hAnsi="Arial" w:cs="Arial"/>
          <w:b/>
        </w:rPr>
        <w:t xml:space="preserve">ACUERDO MEDIANTE EL CUAL SE </w:t>
      </w:r>
      <w:r w:rsidR="00523DF4">
        <w:rPr>
          <w:rFonts w:ascii="Arial" w:hAnsi="Arial" w:cs="Arial"/>
          <w:b/>
        </w:rPr>
        <w:t xml:space="preserve">MODIFICA </w:t>
      </w:r>
      <w:r w:rsidR="004441CC">
        <w:rPr>
          <w:rFonts w:ascii="Arial" w:hAnsi="Arial" w:cs="Arial"/>
          <w:b/>
        </w:rPr>
        <w:t xml:space="preserve">LA FECHA DE </w:t>
      </w:r>
      <w:r w:rsidR="00B35C4F">
        <w:rPr>
          <w:rFonts w:ascii="Arial" w:hAnsi="Arial" w:cs="Arial"/>
          <w:b/>
        </w:rPr>
        <w:t>L</w:t>
      </w:r>
      <w:r w:rsidR="00FA6213">
        <w:rPr>
          <w:rFonts w:ascii="Arial" w:hAnsi="Arial" w:cs="Arial"/>
          <w:b/>
        </w:rPr>
        <w:t xml:space="preserve">A </w:t>
      </w:r>
      <w:r w:rsidR="00B35C4F">
        <w:rPr>
          <w:rFonts w:ascii="Arial" w:hAnsi="Arial" w:cs="Arial"/>
          <w:b/>
        </w:rPr>
        <w:t xml:space="preserve">TERCERA </w:t>
      </w:r>
      <w:r w:rsidR="00FA6213">
        <w:rPr>
          <w:rFonts w:ascii="Arial" w:hAnsi="Arial" w:cs="Arial"/>
          <w:b/>
        </w:rPr>
        <w:t>SESIÓN ORDINARI</w:t>
      </w:r>
      <w:r w:rsidR="004441CC">
        <w:rPr>
          <w:rFonts w:ascii="Arial" w:hAnsi="Arial" w:cs="Arial"/>
          <w:b/>
        </w:rPr>
        <w:t xml:space="preserve">A </w:t>
      </w:r>
      <w:r w:rsidR="00FA6213">
        <w:rPr>
          <w:rFonts w:ascii="Arial" w:hAnsi="Arial" w:cs="Arial"/>
          <w:b/>
        </w:rPr>
        <w:t>CORRESPONDIENTE AL MES DE MARZO,</w:t>
      </w:r>
      <w:r w:rsidRPr="00974D5F">
        <w:rPr>
          <w:rFonts w:ascii="Arial" w:hAnsi="Arial" w:cs="Arial"/>
          <w:b/>
        </w:rPr>
        <w:t xml:space="preserve"> </w:t>
      </w:r>
      <w:r w:rsidR="004441CC">
        <w:rPr>
          <w:rFonts w:ascii="Arial" w:hAnsi="Arial" w:cs="Arial"/>
          <w:b/>
        </w:rPr>
        <w:t>DEL</w:t>
      </w:r>
      <w:r w:rsidRPr="00974D5F">
        <w:rPr>
          <w:rFonts w:ascii="Arial" w:hAnsi="Arial" w:cs="Arial"/>
          <w:b/>
        </w:rPr>
        <w:t xml:space="preserve"> CONSEJO GENERAL </w:t>
      </w:r>
      <w:r w:rsidR="004441CC">
        <w:rPr>
          <w:rFonts w:ascii="Arial" w:hAnsi="Arial" w:cs="Arial"/>
          <w:b/>
        </w:rPr>
        <w:t>DEL INSTITUTO CHIHUAHUENSE PARA LA TRANSPARENCIA Y ACCESO A LA INFORMACIÓN PÚBLICA</w:t>
      </w:r>
      <w:r w:rsidRPr="00974D5F">
        <w:rPr>
          <w:rFonts w:ascii="Arial" w:hAnsi="Arial" w:cs="Arial"/>
          <w:b/>
        </w:rPr>
        <w:t>.</w:t>
      </w:r>
    </w:p>
    <w:p w:rsidR="00974D5F" w:rsidRPr="00974D5F" w:rsidRDefault="00974D5F" w:rsidP="00974D5F">
      <w:pPr>
        <w:jc w:val="both"/>
        <w:rPr>
          <w:rFonts w:ascii="Arial" w:hAnsi="Arial" w:cs="Arial"/>
          <w:b/>
        </w:rPr>
      </w:pPr>
    </w:p>
    <w:p w:rsidR="00974D5F" w:rsidRPr="00974D5F" w:rsidRDefault="00974D5F" w:rsidP="00974D5F">
      <w:pPr>
        <w:jc w:val="both"/>
        <w:rPr>
          <w:rFonts w:ascii="Arial" w:hAnsi="Arial" w:cs="Arial"/>
        </w:rPr>
      </w:pPr>
      <w:r w:rsidRPr="00974D5F">
        <w:rPr>
          <w:rFonts w:ascii="Arial" w:hAnsi="Arial" w:cs="Arial"/>
        </w:rPr>
        <w:t>El Consejo General del Instituto Chihuahuense para la Transparencia y Acceso a la Información Pública, en ejercicio de las atribuciones que le confiere la Ley de Transparencia y Acces</w:t>
      </w:r>
      <w:r w:rsidR="00CB01BC">
        <w:rPr>
          <w:rFonts w:ascii="Arial" w:hAnsi="Arial" w:cs="Arial"/>
        </w:rPr>
        <w:t>o a la Información Pública del E</w:t>
      </w:r>
      <w:r w:rsidRPr="00974D5F">
        <w:rPr>
          <w:rFonts w:ascii="Arial" w:hAnsi="Arial" w:cs="Arial"/>
        </w:rPr>
        <w:t>stado de Chihuahua y su Reglamento; el Reglamento de Sesiones; y, el Reglamento Interior del propio Instituto, expide el presente Acuerdo con base en lo siguiente:</w:t>
      </w:r>
    </w:p>
    <w:p w:rsidR="00CB01BC" w:rsidRDefault="00CB01BC" w:rsidP="00974D5F">
      <w:pPr>
        <w:jc w:val="both"/>
        <w:rPr>
          <w:rFonts w:ascii="Arial" w:hAnsi="Arial" w:cs="Arial"/>
        </w:rPr>
      </w:pPr>
    </w:p>
    <w:p w:rsidR="00974D5F" w:rsidRPr="00CB01BC" w:rsidRDefault="00974D5F" w:rsidP="00CB01BC">
      <w:pPr>
        <w:jc w:val="center"/>
        <w:rPr>
          <w:rFonts w:ascii="Arial" w:hAnsi="Arial" w:cs="Arial"/>
          <w:b/>
        </w:rPr>
      </w:pPr>
      <w:r w:rsidRPr="00CB01BC">
        <w:rPr>
          <w:rFonts w:ascii="Arial" w:hAnsi="Arial" w:cs="Arial"/>
          <w:b/>
        </w:rPr>
        <w:t>CONSIDERANDO</w:t>
      </w:r>
    </w:p>
    <w:p w:rsidR="00974D5F" w:rsidRPr="00974D5F" w:rsidRDefault="00974D5F" w:rsidP="00974D5F">
      <w:pPr>
        <w:jc w:val="both"/>
        <w:rPr>
          <w:rFonts w:ascii="Arial" w:hAnsi="Arial" w:cs="Arial"/>
        </w:rPr>
      </w:pPr>
    </w:p>
    <w:p w:rsidR="00974D5F" w:rsidRDefault="00974D5F" w:rsidP="00974D5F">
      <w:pPr>
        <w:pStyle w:val="Prrafodelista"/>
        <w:numPr>
          <w:ilvl w:val="0"/>
          <w:numId w:val="4"/>
        </w:numPr>
        <w:spacing w:after="200" w:line="276" w:lineRule="auto"/>
        <w:jc w:val="both"/>
        <w:rPr>
          <w:rFonts w:ascii="Arial" w:hAnsi="Arial" w:cs="Arial"/>
        </w:rPr>
      </w:pPr>
      <w:r w:rsidRPr="00974D5F">
        <w:rPr>
          <w:rFonts w:ascii="Arial" w:hAnsi="Arial" w:cs="Arial"/>
        </w:rPr>
        <w:t>Que los artículos 48 y 50, fracción V, inciso m), de la Ley de Transparencia y Acceso a la Información Pública del Estado d</w:t>
      </w:r>
      <w:r w:rsidR="00CB01BC">
        <w:rPr>
          <w:rFonts w:ascii="Arial" w:hAnsi="Arial" w:cs="Arial"/>
        </w:rPr>
        <w:t>e Chihuahua, establecen que el C</w:t>
      </w:r>
      <w:r w:rsidRPr="00974D5F">
        <w:rPr>
          <w:rFonts w:ascii="Arial" w:hAnsi="Arial" w:cs="Arial"/>
        </w:rPr>
        <w:t>onsejo Genera</w:t>
      </w:r>
      <w:r w:rsidR="00FA6213">
        <w:rPr>
          <w:rFonts w:ascii="Arial" w:hAnsi="Arial" w:cs="Arial"/>
        </w:rPr>
        <w:t>l es el órgano S</w:t>
      </w:r>
      <w:r w:rsidRPr="00974D5F">
        <w:rPr>
          <w:rFonts w:ascii="Arial" w:hAnsi="Arial" w:cs="Arial"/>
        </w:rPr>
        <w:t>upremo del Instituto Chihuahuense para la Transparencia y Acceso a la Información Pública, y tiene la atribución de dictar todas aquellas medidas para su mejor funcionamiento.</w:t>
      </w:r>
    </w:p>
    <w:p w:rsidR="00974D5F" w:rsidRPr="00974D5F" w:rsidRDefault="00974D5F" w:rsidP="00974D5F">
      <w:pPr>
        <w:pStyle w:val="Prrafodelista"/>
        <w:spacing w:after="200" w:line="276" w:lineRule="auto"/>
        <w:ind w:left="1080"/>
        <w:jc w:val="both"/>
        <w:rPr>
          <w:rFonts w:ascii="Arial" w:hAnsi="Arial" w:cs="Arial"/>
        </w:rPr>
      </w:pPr>
    </w:p>
    <w:p w:rsidR="00974D5F" w:rsidRDefault="00974D5F" w:rsidP="00974D5F">
      <w:pPr>
        <w:pStyle w:val="Prrafodelista"/>
        <w:numPr>
          <w:ilvl w:val="0"/>
          <w:numId w:val="4"/>
        </w:numPr>
        <w:spacing w:after="200" w:line="276" w:lineRule="auto"/>
        <w:jc w:val="both"/>
        <w:rPr>
          <w:rFonts w:ascii="Arial" w:hAnsi="Arial" w:cs="Arial"/>
        </w:rPr>
      </w:pPr>
      <w:r w:rsidRPr="00974D5F">
        <w:rPr>
          <w:rFonts w:ascii="Arial" w:hAnsi="Arial" w:cs="Arial"/>
        </w:rPr>
        <w:t>Que por otra parte, el Reglamento de Sesiones del Consejo General de este Instituto, señala en su artículo 1° que el objeto de tal normatividad es regular la celebración de las sesiones del propio Consejo, determinando en el inciso a), del artículo 10 de tal disposición, que las Sesiones Ordinarias deberán celebrarse con una periodicidad mensual, para lo cual, según lo contemplado por la fracción XVIII del artículo 9 del Reglamento Interior, es atribución del Consejo General aprobar el calendario de Sesiones Ordinarias.</w:t>
      </w:r>
    </w:p>
    <w:p w:rsidR="00BA4E7D" w:rsidRPr="00BA4E7D" w:rsidRDefault="00BA4E7D" w:rsidP="00BA4E7D">
      <w:pPr>
        <w:pStyle w:val="Prrafodelista"/>
        <w:rPr>
          <w:rFonts w:ascii="Arial" w:hAnsi="Arial" w:cs="Arial"/>
        </w:rPr>
      </w:pPr>
    </w:p>
    <w:p w:rsidR="00BA4E7D" w:rsidRDefault="00BA4E7D" w:rsidP="00BA4E7D">
      <w:pPr>
        <w:pStyle w:val="Prrafodelista"/>
        <w:numPr>
          <w:ilvl w:val="0"/>
          <w:numId w:val="4"/>
        </w:numPr>
        <w:spacing w:after="200" w:line="276" w:lineRule="auto"/>
        <w:jc w:val="both"/>
        <w:rPr>
          <w:rFonts w:ascii="Arial" w:hAnsi="Arial" w:cs="Arial"/>
        </w:rPr>
      </w:pPr>
      <w:r>
        <w:rPr>
          <w:rFonts w:ascii="Arial" w:hAnsi="Arial" w:cs="Arial"/>
        </w:rPr>
        <w:t>Que mediante A</w:t>
      </w:r>
      <w:r w:rsidRPr="00BA4E7D">
        <w:rPr>
          <w:rFonts w:ascii="Arial" w:hAnsi="Arial" w:cs="Arial"/>
        </w:rPr>
        <w:t xml:space="preserve">cuerdo de fecha </w:t>
      </w:r>
      <w:r w:rsidR="00EF3217">
        <w:rPr>
          <w:rFonts w:ascii="Arial" w:hAnsi="Arial" w:cs="Arial"/>
        </w:rPr>
        <w:t>10</w:t>
      </w:r>
      <w:r w:rsidRPr="00BA4E7D">
        <w:rPr>
          <w:rFonts w:ascii="Arial" w:hAnsi="Arial" w:cs="Arial"/>
        </w:rPr>
        <w:t xml:space="preserve"> de enero del año</w:t>
      </w:r>
      <w:r>
        <w:rPr>
          <w:rFonts w:ascii="Arial" w:hAnsi="Arial" w:cs="Arial"/>
        </w:rPr>
        <w:t xml:space="preserve"> </w:t>
      </w:r>
      <w:r w:rsidR="00EF3217">
        <w:rPr>
          <w:rFonts w:ascii="Arial" w:hAnsi="Arial" w:cs="Arial"/>
        </w:rPr>
        <w:t>2011</w:t>
      </w:r>
      <w:r w:rsidRPr="00BA4E7D">
        <w:rPr>
          <w:rFonts w:ascii="Arial" w:hAnsi="Arial" w:cs="Arial"/>
        </w:rPr>
        <w:t xml:space="preserve">, el Consejo General </w:t>
      </w:r>
      <w:r>
        <w:rPr>
          <w:rFonts w:ascii="Arial" w:hAnsi="Arial" w:cs="Arial"/>
        </w:rPr>
        <w:t xml:space="preserve">de este órgano garante, aprobó </w:t>
      </w:r>
      <w:r w:rsidRPr="00BA4E7D">
        <w:rPr>
          <w:rFonts w:ascii="Arial" w:hAnsi="Arial" w:cs="Arial"/>
        </w:rPr>
        <w:t>el calendar</w:t>
      </w:r>
      <w:r>
        <w:rPr>
          <w:rFonts w:ascii="Arial" w:hAnsi="Arial" w:cs="Arial"/>
        </w:rPr>
        <w:t>io oficial de labores 2011 del Instituto Chihuahuense para la Transparencia y A</w:t>
      </w:r>
      <w:r w:rsidRPr="00BA4E7D">
        <w:rPr>
          <w:rFonts w:ascii="Arial" w:hAnsi="Arial" w:cs="Arial"/>
        </w:rPr>
        <w:t xml:space="preserve">cceso a la </w:t>
      </w:r>
      <w:r>
        <w:rPr>
          <w:rFonts w:ascii="Arial" w:hAnsi="Arial" w:cs="Arial"/>
        </w:rPr>
        <w:t>I</w:t>
      </w:r>
      <w:r w:rsidRPr="00BA4E7D">
        <w:rPr>
          <w:rFonts w:ascii="Arial" w:hAnsi="Arial" w:cs="Arial"/>
        </w:rPr>
        <w:t>nformación</w:t>
      </w:r>
      <w:r>
        <w:rPr>
          <w:rFonts w:ascii="Arial" w:hAnsi="Arial" w:cs="Arial"/>
        </w:rPr>
        <w:t xml:space="preserve"> P</w:t>
      </w:r>
      <w:r w:rsidRPr="00BA4E7D">
        <w:rPr>
          <w:rFonts w:ascii="Arial" w:hAnsi="Arial" w:cs="Arial"/>
        </w:rPr>
        <w:t>úbl</w:t>
      </w:r>
      <w:r w:rsidR="00EF3217">
        <w:rPr>
          <w:rFonts w:ascii="Arial" w:hAnsi="Arial" w:cs="Arial"/>
        </w:rPr>
        <w:t>ica, así como el calendario de Sesiones O</w:t>
      </w:r>
      <w:r w:rsidRPr="00BA4E7D">
        <w:rPr>
          <w:rFonts w:ascii="Arial" w:hAnsi="Arial" w:cs="Arial"/>
        </w:rPr>
        <w:t xml:space="preserve">rdinarias </w:t>
      </w:r>
      <w:r>
        <w:rPr>
          <w:rFonts w:ascii="Arial" w:hAnsi="Arial" w:cs="Arial"/>
        </w:rPr>
        <w:t>a</w:t>
      </w:r>
      <w:r w:rsidR="00EF3217">
        <w:rPr>
          <w:rFonts w:ascii="Arial" w:hAnsi="Arial" w:cs="Arial"/>
        </w:rPr>
        <w:t xml:space="preserve"> celebrar en tal periodo, correspondiendo celebrar Sesión Ordinaria el día 16 de marzo del año en curso.</w:t>
      </w:r>
    </w:p>
    <w:p w:rsidR="00BA4E7D" w:rsidRPr="00BA4E7D" w:rsidRDefault="00BA4E7D" w:rsidP="00BA4E7D">
      <w:pPr>
        <w:pStyle w:val="Prrafodelista"/>
        <w:rPr>
          <w:rFonts w:ascii="Arial" w:hAnsi="Arial" w:cs="Arial"/>
        </w:rPr>
      </w:pPr>
    </w:p>
    <w:p w:rsidR="00BA4E7D" w:rsidRPr="00BA4E7D" w:rsidRDefault="00EF3217" w:rsidP="00BA4E7D">
      <w:pPr>
        <w:pStyle w:val="Prrafodelista"/>
        <w:numPr>
          <w:ilvl w:val="0"/>
          <w:numId w:val="4"/>
        </w:numPr>
        <w:spacing w:after="200" w:line="276" w:lineRule="auto"/>
        <w:jc w:val="both"/>
        <w:rPr>
          <w:rFonts w:ascii="Arial" w:hAnsi="Arial" w:cs="Arial"/>
        </w:rPr>
      </w:pPr>
      <w:r>
        <w:rPr>
          <w:rFonts w:ascii="Arial" w:hAnsi="Arial" w:cs="Arial"/>
        </w:rPr>
        <w:t xml:space="preserve">Que ante la imposibilidad de llevar a cabo dicha Sesión, por motivos de fuerza mayor, es que se hace necesario modificar la fecha, para realizar la Sesión que se menciona en el Considerado tercero, el 18 de marzo del año 2011. </w:t>
      </w:r>
    </w:p>
    <w:p w:rsidR="00BA4E7D" w:rsidRPr="00BA4E7D" w:rsidRDefault="00BA4E7D" w:rsidP="00BA4E7D">
      <w:pPr>
        <w:pStyle w:val="Prrafodelista"/>
        <w:ind w:left="1080"/>
        <w:jc w:val="both"/>
        <w:rPr>
          <w:rFonts w:ascii="Arial" w:hAnsi="Arial" w:cs="Arial"/>
          <w:b/>
        </w:rPr>
      </w:pPr>
    </w:p>
    <w:p w:rsidR="00974D5F" w:rsidRPr="00974D5F" w:rsidRDefault="00974D5F" w:rsidP="00974D5F">
      <w:pPr>
        <w:pStyle w:val="Prrafodelista"/>
        <w:rPr>
          <w:rFonts w:ascii="Arial" w:hAnsi="Arial" w:cs="Arial"/>
        </w:rPr>
      </w:pPr>
    </w:p>
    <w:p w:rsidR="00974D5F" w:rsidRDefault="00974D5F" w:rsidP="00974D5F">
      <w:pPr>
        <w:ind w:left="360"/>
        <w:jc w:val="both"/>
        <w:rPr>
          <w:rFonts w:ascii="Arial" w:hAnsi="Arial" w:cs="Arial"/>
        </w:rPr>
      </w:pPr>
      <w:r w:rsidRPr="00974D5F">
        <w:rPr>
          <w:rFonts w:ascii="Arial" w:hAnsi="Arial" w:cs="Arial"/>
        </w:rPr>
        <w:t>Conforme a las anteriores consideraciones, es que este Consejo General emite el siguiente:</w:t>
      </w:r>
      <w:r w:rsidR="004441CC">
        <w:rPr>
          <w:rFonts w:ascii="Arial" w:hAnsi="Arial" w:cs="Arial"/>
        </w:rPr>
        <w:t xml:space="preserve"> </w:t>
      </w:r>
    </w:p>
    <w:p w:rsidR="004441CC" w:rsidRDefault="004441CC" w:rsidP="00974D5F">
      <w:pPr>
        <w:ind w:left="360"/>
        <w:jc w:val="both"/>
        <w:rPr>
          <w:rFonts w:ascii="Arial" w:hAnsi="Arial" w:cs="Arial"/>
        </w:rPr>
      </w:pPr>
    </w:p>
    <w:p w:rsidR="004441CC" w:rsidRPr="004441CC" w:rsidRDefault="004441CC" w:rsidP="004441CC">
      <w:pPr>
        <w:ind w:left="360"/>
        <w:jc w:val="center"/>
        <w:rPr>
          <w:rFonts w:ascii="Arial" w:hAnsi="Arial" w:cs="Arial"/>
          <w:b/>
        </w:rPr>
      </w:pPr>
      <w:r w:rsidRPr="004441CC">
        <w:rPr>
          <w:rFonts w:ascii="Arial" w:hAnsi="Arial" w:cs="Arial"/>
          <w:b/>
        </w:rPr>
        <w:t>ACUERDO:</w:t>
      </w:r>
    </w:p>
    <w:p w:rsidR="00974D5F" w:rsidRPr="00974D5F" w:rsidRDefault="00974D5F" w:rsidP="00974D5F">
      <w:pPr>
        <w:ind w:left="360"/>
        <w:jc w:val="both"/>
        <w:rPr>
          <w:rFonts w:ascii="Arial" w:hAnsi="Arial" w:cs="Arial"/>
        </w:rPr>
      </w:pPr>
    </w:p>
    <w:p w:rsidR="00337050" w:rsidRDefault="00FA6213" w:rsidP="00FA6213">
      <w:pPr>
        <w:ind w:left="360"/>
        <w:jc w:val="both"/>
        <w:rPr>
          <w:rFonts w:ascii="Arial" w:hAnsi="Arial" w:cs="Arial"/>
        </w:rPr>
      </w:pPr>
      <w:r>
        <w:rPr>
          <w:rFonts w:ascii="Arial" w:hAnsi="Arial" w:cs="Arial"/>
          <w:b/>
        </w:rPr>
        <w:t>PRIMERO</w:t>
      </w:r>
      <w:r w:rsidR="00974D5F" w:rsidRPr="00974D5F">
        <w:rPr>
          <w:rFonts w:ascii="Arial" w:hAnsi="Arial" w:cs="Arial"/>
          <w:b/>
        </w:rPr>
        <w:t xml:space="preserve">.- </w:t>
      </w:r>
      <w:r w:rsidR="004441CC">
        <w:rPr>
          <w:rFonts w:ascii="Arial" w:hAnsi="Arial" w:cs="Arial"/>
        </w:rPr>
        <w:t>Se modifica la fecha de celebración de la Sesión O</w:t>
      </w:r>
      <w:r>
        <w:rPr>
          <w:rFonts w:ascii="Arial" w:hAnsi="Arial" w:cs="Arial"/>
        </w:rPr>
        <w:t>rdinari</w:t>
      </w:r>
      <w:r w:rsidR="004441CC" w:rsidRPr="004441CC">
        <w:rPr>
          <w:rFonts w:ascii="Arial" w:hAnsi="Arial" w:cs="Arial"/>
        </w:rPr>
        <w:t xml:space="preserve">a correspondiente al </w:t>
      </w:r>
      <w:r w:rsidR="004441CC">
        <w:rPr>
          <w:rFonts w:ascii="Arial" w:hAnsi="Arial" w:cs="Arial"/>
        </w:rPr>
        <w:t xml:space="preserve">16 </w:t>
      </w:r>
      <w:r w:rsidR="004441CC" w:rsidRPr="004441CC">
        <w:rPr>
          <w:rFonts w:ascii="Arial" w:hAnsi="Arial" w:cs="Arial"/>
        </w:rPr>
        <w:t xml:space="preserve">de marzo </w:t>
      </w:r>
      <w:r w:rsidR="00974D5F" w:rsidRPr="00974D5F">
        <w:rPr>
          <w:rFonts w:ascii="Arial" w:hAnsi="Arial" w:cs="Arial"/>
        </w:rPr>
        <w:t>el año 201</w:t>
      </w:r>
      <w:r w:rsidR="003A4061">
        <w:rPr>
          <w:rFonts w:ascii="Arial" w:hAnsi="Arial" w:cs="Arial"/>
        </w:rPr>
        <w:t>1</w:t>
      </w:r>
      <w:r w:rsidR="00974D5F" w:rsidRPr="00974D5F">
        <w:rPr>
          <w:rFonts w:ascii="Arial" w:hAnsi="Arial" w:cs="Arial"/>
        </w:rPr>
        <w:t xml:space="preserve">, </w:t>
      </w:r>
      <w:r w:rsidR="008E1AFA">
        <w:rPr>
          <w:rFonts w:ascii="Arial" w:hAnsi="Arial" w:cs="Arial"/>
        </w:rPr>
        <w:t xml:space="preserve">para celebrar la misma el día 18 </w:t>
      </w:r>
      <w:r>
        <w:rPr>
          <w:rFonts w:ascii="Arial" w:hAnsi="Arial" w:cs="Arial"/>
        </w:rPr>
        <w:t>de marzo del año 2011.</w:t>
      </w:r>
    </w:p>
    <w:p w:rsidR="00FA6213" w:rsidRDefault="00FA6213" w:rsidP="00FA6213">
      <w:pPr>
        <w:ind w:left="360"/>
        <w:jc w:val="both"/>
        <w:rPr>
          <w:rFonts w:ascii="Arial" w:hAnsi="Arial" w:cs="Arial"/>
        </w:rPr>
      </w:pPr>
    </w:p>
    <w:p w:rsidR="00FA6213" w:rsidRDefault="00FA6213" w:rsidP="00FA6213">
      <w:pPr>
        <w:ind w:left="360"/>
        <w:jc w:val="both"/>
        <w:rPr>
          <w:rFonts w:ascii="Arial" w:hAnsi="Arial" w:cs="Arial"/>
          <w:b/>
        </w:rPr>
      </w:pPr>
      <w:r>
        <w:rPr>
          <w:rFonts w:ascii="Arial" w:hAnsi="Arial" w:cs="Arial"/>
          <w:b/>
        </w:rPr>
        <w:t xml:space="preserve">SEGUNDO.- </w:t>
      </w:r>
      <w:r w:rsidRPr="00FA6213">
        <w:rPr>
          <w:rFonts w:ascii="Arial" w:hAnsi="Arial" w:cs="Arial"/>
        </w:rPr>
        <w:t>Notifíquese por estrados el presente acuerdo y en la página web de este Instituto.</w:t>
      </w:r>
    </w:p>
    <w:p w:rsidR="00FA6213" w:rsidRDefault="00FA6213" w:rsidP="00974D5F">
      <w:pPr>
        <w:jc w:val="center"/>
        <w:rPr>
          <w:rFonts w:ascii="Arial" w:hAnsi="Arial" w:cs="Arial"/>
          <w:b/>
        </w:rPr>
      </w:pPr>
    </w:p>
    <w:p w:rsidR="00974D5F" w:rsidRDefault="00974D5F" w:rsidP="00974D5F">
      <w:pPr>
        <w:jc w:val="center"/>
        <w:rPr>
          <w:rFonts w:ascii="Arial" w:hAnsi="Arial" w:cs="Arial"/>
          <w:b/>
        </w:rPr>
      </w:pPr>
      <w:r w:rsidRPr="00974D5F">
        <w:rPr>
          <w:rFonts w:ascii="Arial" w:hAnsi="Arial" w:cs="Arial"/>
          <w:b/>
        </w:rPr>
        <w:t>TRANSITORIOS</w:t>
      </w:r>
    </w:p>
    <w:p w:rsidR="003A4061" w:rsidRPr="00974D5F" w:rsidRDefault="003A4061" w:rsidP="00974D5F">
      <w:pPr>
        <w:jc w:val="center"/>
        <w:rPr>
          <w:rFonts w:ascii="Arial" w:hAnsi="Arial" w:cs="Arial"/>
          <w:b/>
        </w:rPr>
      </w:pPr>
    </w:p>
    <w:p w:rsidR="00974D5F" w:rsidRPr="00974D5F" w:rsidRDefault="00FA6213" w:rsidP="00974D5F">
      <w:pPr>
        <w:jc w:val="both"/>
        <w:rPr>
          <w:rFonts w:ascii="Arial" w:hAnsi="Arial" w:cs="Arial"/>
        </w:rPr>
      </w:pPr>
      <w:r>
        <w:rPr>
          <w:rFonts w:ascii="Arial" w:hAnsi="Arial" w:cs="Arial"/>
          <w:b/>
        </w:rPr>
        <w:t>Ú</w:t>
      </w:r>
      <w:r w:rsidR="00974D5F" w:rsidRPr="00974D5F">
        <w:rPr>
          <w:rFonts w:ascii="Arial" w:hAnsi="Arial" w:cs="Arial"/>
          <w:b/>
        </w:rPr>
        <w:t xml:space="preserve">NICO.- </w:t>
      </w:r>
      <w:r w:rsidR="003A4061">
        <w:rPr>
          <w:rFonts w:ascii="Arial" w:hAnsi="Arial" w:cs="Arial"/>
        </w:rPr>
        <w:t>El presente A</w:t>
      </w:r>
      <w:r w:rsidR="00974D5F" w:rsidRPr="00974D5F">
        <w:rPr>
          <w:rFonts w:ascii="Arial" w:hAnsi="Arial" w:cs="Arial"/>
        </w:rPr>
        <w:t>cuerdo entrará en vigor al momento de su aprobación por el Consejo General.</w:t>
      </w:r>
    </w:p>
    <w:p w:rsidR="00974D5F" w:rsidRPr="00974D5F" w:rsidRDefault="00974D5F" w:rsidP="00974D5F">
      <w:pPr>
        <w:jc w:val="both"/>
        <w:rPr>
          <w:rFonts w:ascii="Arial" w:hAnsi="Arial" w:cs="Arial"/>
        </w:rPr>
      </w:pPr>
    </w:p>
    <w:p w:rsidR="00974D5F" w:rsidRPr="00974D5F" w:rsidRDefault="00974D5F" w:rsidP="00974D5F">
      <w:pPr>
        <w:jc w:val="both"/>
        <w:rPr>
          <w:rFonts w:ascii="Arial" w:hAnsi="Arial" w:cs="Arial"/>
        </w:rPr>
      </w:pPr>
      <w:r w:rsidRPr="00974D5F">
        <w:rPr>
          <w:rFonts w:ascii="Arial" w:hAnsi="Arial" w:cs="Arial"/>
        </w:rPr>
        <w:t>Así lo acordó el Consejo General del Instituto Chihuahuense para la Transparencia y Acceso a la Info</w:t>
      </w:r>
      <w:r w:rsidR="00B35C4F">
        <w:rPr>
          <w:rFonts w:ascii="Arial" w:hAnsi="Arial" w:cs="Arial"/>
        </w:rPr>
        <w:t xml:space="preserve">rmación Pública, por unanimidad </w:t>
      </w:r>
      <w:r w:rsidRPr="00974D5F">
        <w:rPr>
          <w:rFonts w:ascii="Arial" w:hAnsi="Arial" w:cs="Arial"/>
        </w:rPr>
        <w:t xml:space="preserve">de votos en la Sesión Extraordinaria </w:t>
      </w:r>
      <w:r w:rsidR="00FA6213">
        <w:rPr>
          <w:rFonts w:ascii="Arial" w:hAnsi="Arial" w:cs="Arial"/>
        </w:rPr>
        <w:t xml:space="preserve">urgente, </w:t>
      </w:r>
      <w:r w:rsidR="00B35C4F">
        <w:rPr>
          <w:rFonts w:ascii="Arial" w:hAnsi="Arial" w:cs="Arial"/>
        </w:rPr>
        <w:t>celebrada el día quince</w:t>
      </w:r>
      <w:r w:rsidRPr="00974D5F">
        <w:rPr>
          <w:rFonts w:ascii="Arial" w:hAnsi="Arial" w:cs="Arial"/>
        </w:rPr>
        <w:t xml:space="preserve"> de </w:t>
      </w:r>
      <w:r w:rsidR="00B35C4F">
        <w:rPr>
          <w:rFonts w:ascii="Arial" w:hAnsi="Arial" w:cs="Arial"/>
        </w:rPr>
        <w:t>marzo</w:t>
      </w:r>
      <w:r w:rsidRPr="00974D5F">
        <w:rPr>
          <w:rFonts w:ascii="Arial" w:hAnsi="Arial" w:cs="Arial"/>
        </w:rPr>
        <w:t xml:space="preserve"> del año dos mil </w:t>
      </w:r>
      <w:r w:rsidR="003A4061">
        <w:rPr>
          <w:rFonts w:ascii="Arial" w:hAnsi="Arial" w:cs="Arial"/>
        </w:rPr>
        <w:t>once</w:t>
      </w:r>
      <w:r w:rsidRPr="00974D5F">
        <w:rPr>
          <w:rFonts w:ascii="Arial" w:hAnsi="Arial" w:cs="Arial"/>
        </w:rPr>
        <w:t>.</w:t>
      </w:r>
    </w:p>
    <w:p w:rsidR="00884B22" w:rsidRPr="00974D5F" w:rsidRDefault="00884B22" w:rsidP="00CA0476">
      <w:pPr>
        <w:jc w:val="both"/>
        <w:rPr>
          <w:rFonts w:ascii="Arial" w:hAnsi="Arial" w:cs="Arial"/>
        </w:rPr>
      </w:pPr>
    </w:p>
    <w:p w:rsidR="00265A6E" w:rsidRPr="00B35C4F" w:rsidRDefault="00265A6E" w:rsidP="00A8138A">
      <w:pPr>
        <w:rPr>
          <w:rFonts w:ascii="Arial" w:hAnsi="Arial" w:cs="Arial"/>
          <w:b/>
        </w:rPr>
      </w:pPr>
    </w:p>
    <w:p w:rsidR="004E496D" w:rsidRPr="00974D5F" w:rsidRDefault="00E6203C" w:rsidP="00E6203C">
      <w:pPr>
        <w:jc w:val="center"/>
        <w:rPr>
          <w:rFonts w:ascii="Arial" w:hAnsi="Arial" w:cs="Arial"/>
          <w:b/>
          <w:lang w:val="es-ES"/>
        </w:rPr>
      </w:pPr>
      <w:r w:rsidRPr="00E6203C">
        <w:rPr>
          <w:rFonts w:ascii="Arial" w:hAnsi="Arial" w:cs="Arial"/>
          <w:b/>
          <w:lang w:val="es-ES"/>
        </w:rPr>
        <w:drawing>
          <wp:inline distT="0" distB="0" distL="0" distR="0">
            <wp:extent cx="2420572" cy="885826"/>
            <wp:effectExtent l="19050" t="0" r="0" b="0"/>
            <wp:docPr id="18" name="Imagen 1"/>
            <wp:cNvGraphicFramePr/>
            <a:graphic xmlns:a="http://schemas.openxmlformats.org/drawingml/2006/main">
              <a:graphicData uri="http://schemas.openxmlformats.org/drawingml/2006/picture">
                <pic:pic xmlns:pic="http://schemas.openxmlformats.org/drawingml/2006/picture">
                  <pic:nvPicPr>
                    <pic:cNvPr id="5" name="Picture 27"/>
                    <pic:cNvPicPr>
                      <a:picLocks noChangeAspect="1" noChangeArrowheads="1"/>
                    </pic:cNvPicPr>
                  </pic:nvPicPr>
                  <pic:blipFill>
                    <a:blip r:embed="rId7"/>
                    <a:srcRect/>
                    <a:stretch>
                      <a:fillRect/>
                    </a:stretch>
                  </pic:blipFill>
                  <pic:spPr bwMode="auto">
                    <a:xfrm>
                      <a:off x="0" y="0"/>
                      <a:ext cx="2420572" cy="885826"/>
                    </a:xfrm>
                    <a:prstGeom prst="rect">
                      <a:avLst/>
                    </a:prstGeom>
                    <a:noFill/>
                    <a:ln w="9525">
                      <a:noFill/>
                      <a:miter lim="800000"/>
                      <a:headEnd/>
                      <a:tailEnd/>
                    </a:ln>
                  </pic:spPr>
                </pic:pic>
              </a:graphicData>
            </a:graphic>
          </wp:inline>
        </w:drawing>
      </w:r>
    </w:p>
    <w:p w:rsidR="009647C1" w:rsidRPr="00974D5F" w:rsidRDefault="00A17430" w:rsidP="009647C1">
      <w:pPr>
        <w:jc w:val="center"/>
        <w:rPr>
          <w:rFonts w:ascii="Arial" w:hAnsi="Arial" w:cs="Arial"/>
          <w:b/>
          <w:lang w:val="es-ES"/>
        </w:rPr>
      </w:pPr>
      <w:r w:rsidRPr="00974D5F">
        <w:rPr>
          <w:rFonts w:ascii="Arial" w:hAnsi="Arial" w:cs="Arial"/>
          <w:b/>
          <w:lang w:val="es-ES"/>
        </w:rPr>
        <w:t>Lic. Enrique Medina Reyes</w:t>
      </w:r>
    </w:p>
    <w:p w:rsidR="00A8138A" w:rsidRPr="00974D5F" w:rsidRDefault="009647C1" w:rsidP="009647C1">
      <w:pPr>
        <w:jc w:val="center"/>
        <w:rPr>
          <w:rFonts w:ascii="Arial" w:hAnsi="Arial" w:cs="Arial"/>
          <w:b/>
          <w:lang w:val="es-ES"/>
        </w:rPr>
      </w:pPr>
      <w:r w:rsidRPr="00974D5F">
        <w:rPr>
          <w:rFonts w:ascii="Arial" w:hAnsi="Arial" w:cs="Arial"/>
          <w:b/>
          <w:lang w:val="es-ES"/>
        </w:rPr>
        <w:t>Consejero Presidente</w:t>
      </w:r>
    </w:p>
    <w:p w:rsidR="008C3DF1" w:rsidRPr="00974D5F" w:rsidRDefault="008C3DF1" w:rsidP="00A17430">
      <w:pPr>
        <w:jc w:val="both"/>
        <w:rPr>
          <w:rFonts w:ascii="Arial" w:hAnsi="Arial" w:cs="Arial"/>
          <w:b/>
          <w:lang w:val="es-ES"/>
        </w:rPr>
      </w:pPr>
    </w:p>
    <w:p w:rsidR="004E496D" w:rsidRPr="00974D5F" w:rsidRDefault="004E496D" w:rsidP="00A17430">
      <w:pPr>
        <w:jc w:val="both"/>
        <w:rPr>
          <w:rFonts w:ascii="Arial" w:hAnsi="Arial" w:cs="Arial"/>
          <w:b/>
          <w:lang w:val="es-ES"/>
        </w:rPr>
      </w:pPr>
    </w:p>
    <w:p w:rsidR="004E496D" w:rsidRPr="00974D5F" w:rsidRDefault="00E6203C" w:rsidP="00E6203C">
      <w:pPr>
        <w:jc w:val="center"/>
        <w:rPr>
          <w:rFonts w:ascii="Arial" w:hAnsi="Arial" w:cs="Arial"/>
          <w:b/>
          <w:lang w:val="es-ES"/>
        </w:rPr>
      </w:pPr>
      <w:r w:rsidRPr="00E6203C">
        <w:rPr>
          <w:rFonts w:ascii="Arial" w:hAnsi="Arial" w:cs="Arial"/>
          <w:b/>
          <w:lang w:val="es-ES"/>
        </w:rPr>
        <w:drawing>
          <wp:inline distT="0" distB="0" distL="0" distR="0">
            <wp:extent cx="1733550" cy="657225"/>
            <wp:effectExtent l="19050" t="0" r="0" b="0"/>
            <wp:docPr id="19" name="Imagen 2"/>
            <wp:cNvGraphicFramePr/>
            <a:graphic xmlns:a="http://schemas.openxmlformats.org/drawingml/2006/main">
              <a:graphicData uri="http://schemas.openxmlformats.org/drawingml/2006/picture">
                <pic:pic xmlns:pic="http://schemas.openxmlformats.org/drawingml/2006/picture">
                  <pic:nvPicPr>
                    <pic:cNvPr id="6" name="Picture 31"/>
                    <pic:cNvPicPr>
                      <a:picLocks noChangeAspect="1" noChangeArrowheads="1"/>
                    </pic:cNvPicPr>
                  </pic:nvPicPr>
                  <pic:blipFill>
                    <a:blip r:embed="rId8"/>
                    <a:srcRect/>
                    <a:stretch>
                      <a:fillRect/>
                    </a:stretch>
                  </pic:blipFill>
                  <pic:spPr bwMode="auto">
                    <a:xfrm>
                      <a:off x="0" y="0"/>
                      <a:ext cx="1733550" cy="657225"/>
                    </a:xfrm>
                    <a:prstGeom prst="rect">
                      <a:avLst/>
                    </a:prstGeom>
                    <a:noFill/>
                    <a:ln w="9525">
                      <a:noFill/>
                      <a:miter lim="800000"/>
                      <a:headEnd/>
                      <a:tailEnd/>
                    </a:ln>
                  </pic:spPr>
                </pic:pic>
              </a:graphicData>
            </a:graphic>
          </wp:inline>
        </w:drawing>
      </w:r>
    </w:p>
    <w:p w:rsidR="004E496D" w:rsidRPr="00974D5F" w:rsidRDefault="00A17430" w:rsidP="00A17430">
      <w:pPr>
        <w:jc w:val="center"/>
        <w:rPr>
          <w:rFonts w:ascii="Arial" w:hAnsi="Arial" w:cs="Arial"/>
          <w:b/>
          <w:lang w:val="es-ES"/>
        </w:rPr>
      </w:pPr>
      <w:r w:rsidRPr="00974D5F">
        <w:rPr>
          <w:rFonts w:ascii="Arial" w:hAnsi="Arial" w:cs="Arial"/>
          <w:b/>
          <w:lang w:val="es-ES"/>
        </w:rPr>
        <w:t xml:space="preserve">Lic. </w:t>
      </w:r>
      <w:r w:rsidR="004E496D" w:rsidRPr="00974D5F">
        <w:rPr>
          <w:rFonts w:ascii="Arial" w:hAnsi="Arial" w:cs="Arial"/>
          <w:b/>
          <w:lang w:val="es-ES"/>
        </w:rPr>
        <w:t>Jorge Alberto Aguilar Luján</w:t>
      </w:r>
    </w:p>
    <w:p w:rsidR="00CA4605" w:rsidRPr="00974D5F" w:rsidRDefault="004E496D" w:rsidP="00A17430">
      <w:pPr>
        <w:jc w:val="center"/>
        <w:rPr>
          <w:rFonts w:ascii="Arial" w:hAnsi="Arial" w:cs="Arial"/>
          <w:b/>
          <w:lang w:val="es-ES"/>
        </w:rPr>
      </w:pPr>
      <w:r w:rsidRPr="00974D5F">
        <w:rPr>
          <w:rFonts w:ascii="Arial" w:hAnsi="Arial" w:cs="Arial"/>
          <w:b/>
          <w:lang w:val="es-ES"/>
        </w:rPr>
        <w:t>Secretario Ejecutivo</w:t>
      </w:r>
    </w:p>
    <w:sectPr w:rsidR="00CA4605" w:rsidRPr="00974D5F" w:rsidSect="00BA53C9">
      <w:headerReference w:type="default" r:id="rId9"/>
      <w:footerReference w:type="default" r:id="rId10"/>
      <w:pgSz w:w="12240" w:h="15840" w:code="1"/>
      <w:pgMar w:top="567" w:right="1134" w:bottom="567" w:left="1418" w:header="567" w:footer="28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354" w:rsidRDefault="00C74354">
      <w:r>
        <w:separator/>
      </w:r>
    </w:p>
  </w:endnote>
  <w:endnote w:type="continuationSeparator" w:id="1">
    <w:p w:rsidR="00C74354" w:rsidRDefault="00C743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29A7" w:rsidRPr="00AC61EB" w:rsidRDefault="001E65DE">
    <w:pPr>
      <w:rPr>
        <w:sz w:val="10"/>
        <w:szCs w:val="10"/>
      </w:rPr>
    </w:pPr>
    <w:r w:rsidRPr="001E65DE">
      <w:rPr>
        <w:noProof/>
        <w:lang w:val="es-ES"/>
      </w:rPr>
      <w:pict>
        <v:line id="_x0000_s1026" style="position:absolute;z-index:251658240" from="0,2.45pt" to="486pt,2.45pt" strokeweight="1pt"/>
      </w:pict>
    </w:r>
  </w:p>
  <w:tbl>
    <w:tblPr>
      <w:tblW w:w="9720" w:type="dxa"/>
      <w:tblLook w:val="00BF"/>
    </w:tblPr>
    <w:tblGrid>
      <w:gridCol w:w="2340"/>
      <w:gridCol w:w="4500"/>
      <w:gridCol w:w="2880"/>
    </w:tblGrid>
    <w:tr w:rsidR="00BB29A7" w:rsidRPr="00AB587A">
      <w:tc>
        <w:tcPr>
          <w:tcW w:w="2340" w:type="dxa"/>
        </w:tcPr>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Calle Ahuehuete No. 717</w:t>
          </w:r>
        </w:p>
      </w:tc>
      <w:tc>
        <w:tcPr>
          <w:tcW w:w="4500" w:type="dxa"/>
        </w:tcPr>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Col. Universidad, C. P. 31106, Chihuahua, Chih., México</w:t>
          </w:r>
        </w:p>
      </w:tc>
      <w:tc>
        <w:tcPr>
          <w:tcW w:w="2880" w:type="dxa"/>
        </w:tcPr>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Conmutador: (614) 201 3300</w:t>
          </w:r>
        </w:p>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Fax (614) 201 3301</w:t>
          </w:r>
        </w:p>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01 800 300 2525</w:t>
          </w:r>
        </w:p>
      </w:tc>
    </w:tr>
    <w:tr w:rsidR="00BB29A7" w:rsidRPr="00AB587A">
      <w:tc>
        <w:tcPr>
          <w:tcW w:w="9720" w:type="dxa"/>
          <w:gridSpan w:val="3"/>
        </w:tcPr>
        <w:p w:rsidR="00BB29A7" w:rsidRPr="00AB587A" w:rsidRDefault="00BB29A7" w:rsidP="00BA53C9">
          <w:pPr>
            <w:pStyle w:val="Piedepgina"/>
            <w:jc w:val="center"/>
            <w:rPr>
              <w:rFonts w:ascii="Lucida Sans" w:hAnsi="Lucida Sans" w:cs="Lucida Sans"/>
              <w:sz w:val="18"/>
              <w:szCs w:val="18"/>
            </w:rPr>
          </w:pPr>
          <w:r w:rsidRPr="00AB587A">
            <w:rPr>
              <w:rFonts w:ascii="Lucida Sans" w:hAnsi="Lucida Sans" w:cs="Lucida Sans"/>
              <w:sz w:val="18"/>
              <w:szCs w:val="18"/>
            </w:rPr>
            <w:t>www.ichitaip.org.mx</w:t>
          </w:r>
        </w:p>
      </w:tc>
    </w:tr>
  </w:tbl>
  <w:p w:rsidR="00BB29A7" w:rsidRPr="006F4AEA" w:rsidRDefault="00BB29A7" w:rsidP="008C3DF1">
    <w:pPr>
      <w:pStyle w:val="Piedepgina"/>
      <w:rPr>
        <w:rFonts w:ascii="Lucida Sans" w:hAnsi="Lucida Sans" w:cs="Lucida Sans"/>
        <w:color w:val="808080"/>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354" w:rsidRDefault="00C74354">
      <w:r>
        <w:separator/>
      </w:r>
    </w:p>
  </w:footnote>
  <w:footnote w:type="continuationSeparator" w:id="1">
    <w:p w:rsidR="00C74354" w:rsidRDefault="00C7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A0"/>
    </w:tblPr>
    <w:tblGrid>
      <w:gridCol w:w="4914"/>
      <w:gridCol w:w="4914"/>
    </w:tblGrid>
    <w:tr w:rsidR="00BB29A7">
      <w:tc>
        <w:tcPr>
          <w:tcW w:w="4914" w:type="dxa"/>
        </w:tcPr>
        <w:p w:rsidR="00BB29A7" w:rsidRDefault="00DF38FE">
          <w:pPr>
            <w:pStyle w:val="Encabezado"/>
          </w:pPr>
          <w:r>
            <w:rPr>
              <w:noProof/>
              <w:lang w:eastAsia="es-MX"/>
            </w:rPr>
            <w:drawing>
              <wp:inline distT="0" distB="0" distL="0" distR="0">
                <wp:extent cx="1894205" cy="902335"/>
                <wp:effectExtent l="1905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894205" cy="902335"/>
                        </a:xfrm>
                        <a:prstGeom prst="rect">
                          <a:avLst/>
                        </a:prstGeom>
                        <a:noFill/>
                        <a:ln w="9525">
                          <a:noFill/>
                          <a:miter lim="800000"/>
                          <a:headEnd/>
                          <a:tailEnd/>
                        </a:ln>
                      </pic:spPr>
                    </pic:pic>
                  </a:graphicData>
                </a:graphic>
              </wp:inline>
            </w:drawing>
          </w:r>
        </w:p>
      </w:tc>
      <w:tc>
        <w:tcPr>
          <w:tcW w:w="4914" w:type="dxa"/>
        </w:tcPr>
        <w:p w:rsidR="00B35C4F" w:rsidRDefault="00B35C4F" w:rsidP="00BA53C9">
          <w:pPr>
            <w:pStyle w:val="Encabezado"/>
            <w:jc w:val="right"/>
            <w:rPr>
              <w:rFonts w:ascii="Arial" w:hAnsi="Arial" w:cs="Arial"/>
              <w:b/>
              <w:sz w:val="14"/>
              <w:szCs w:val="14"/>
            </w:rPr>
          </w:pPr>
        </w:p>
        <w:p w:rsidR="00BB29A7" w:rsidRPr="00B35C4F" w:rsidRDefault="00B35C4F" w:rsidP="00BA53C9">
          <w:pPr>
            <w:pStyle w:val="Encabezado"/>
            <w:jc w:val="right"/>
            <w:rPr>
              <w:rFonts w:ascii="Arial" w:hAnsi="Arial" w:cs="Arial"/>
              <w:b/>
              <w:bCs/>
              <w:sz w:val="16"/>
              <w:szCs w:val="16"/>
            </w:rPr>
          </w:pPr>
          <w:r w:rsidRPr="00B35C4F">
            <w:rPr>
              <w:rFonts w:ascii="Arial" w:hAnsi="Arial" w:cs="Arial"/>
              <w:b/>
              <w:sz w:val="16"/>
              <w:szCs w:val="16"/>
            </w:rPr>
            <w:t>ACUERDO/CG-015/2011</w:t>
          </w:r>
        </w:p>
      </w:tc>
    </w:tr>
  </w:tbl>
  <w:p w:rsidR="00BB29A7" w:rsidRDefault="001E65DE">
    <w:pPr>
      <w:pStyle w:val="Encabezado"/>
    </w:pPr>
    <w:r w:rsidRPr="001E65DE">
      <w:rPr>
        <w:noProof/>
        <w:lang w:val="es-ES"/>
      </w:rPr>
      <w:pict>
        <v:line id="_x0000_s1025" style="position:absolute;z-index:251657216;mso-position-horizontal-relative:text;mso-position-vertical-relative:text" from="0,3.5pt" to="486pt,3.5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2F59DB"/>
    <w:multiLevelType w:val="hybridMultilevel"/>
    <w:tmpl w:val="E222E2A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50B5738C"/>
    <w:multiLevelType w:val="hybridMultilevel"/>
    <w:tmpl w:val="3160AC5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5B3C43AB"/>
    <w:multiLevelType w:val="hybridMultilevel"/>
    <w:tmpl w:val="49B89CA2"/>
    <w:lvl w:ilvl="0" w:tplc="28A46086">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67EF0AC4"/>
    <w:multiLevelType w:val="hybridMultilevel"/>
    <w:tmpl w:val="AF8E6AAC"/>
    <w:lvl w:ilvl="0" w:tplc="5004105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characterSpacingControl w:val="doNotCompress"/>
  <w:hdrShapeDefaults>
    <o:shapedefaults v:ext="edit" spidmax="31746"/>
    <o:shapelayout v:ext="edit">
      <o:idmap v:ext="edit" data="1"/>
    </o:shapelayout>
  </w:hdrShapeDefaults>
  <w:footnotePr>
    <w:footnote w:id="0"/>
    <w:footnote w:id="1"/>
  </w:footnotePr>
  <w:endnotePr>
    <w:endnote w:id="0"/>
    <w:endnote w:id="1"/>
  </w:endnotePr>
  <w:compat/>
  <w:rsids>
    <w:rsidRoot w:val="00A8138A"/>
    <w:rsid w:val="00005617"/>
    <w:rsid w:val="00040F27"/>
    <w:rsid w:val="000452F8"/>
    <w:rsid w:val="000458D2"/>
    <w:rsid w:val="00046749"/>
    <w:rsid w:val="00046971"/>
    <w:rsid w:val="000551BF"/>
    <w:rsid w:val="0006568C"/>
    <w:rsid w:val="0008445F"/>
    <w:rsid w:val="00084A95"/>
    <w:rsid w:val="00087623"/>
    <w:rsid w:val="00094528"/>
    <w:rsid w:val="000B44E2"/>
    <w:rsid w:val="000B55EA"/>
    <w:rsid w:val="000B7326"/>
    <w:rsid w:val="000C2F5A"/>
    <w:rsid w:val="000C4DD0"/>
    <w:rsid w:val="000C588C"/>
    <w:rsid w:val="000C71CC"/>
    <w:rsid w:val="000D5AB2"/>
    <w:rsid w:val="000D7555"/>
    <w:rsid w:val="000D7B6A"/>
    <w:rsid w:val="000E6547"/>
    <w:rsid w:val="001028A3"/>
    <w:rsid w:val="001041F8"/>
    <w:rsid w:val="00106AE7"/>
    <w:rsid w:val="00106CAF"/>
    <w:rsid w:val="0011642D"/>
    <w:rsid w:val="00116867"/>
    <w:rsid w:val="00116DC4"/>
    <w:rsid w:val="001216E3"/>
    <w:rsid w:val="00122898"/>
    <w:rsid w:val="001341A1"/>
    <w:rsid w:val="00145A33"/>
    <w:rsid w:val="00150532"/>
    <w:rsid w:val="00150D47"/>
    <w:rsid w:val="00163116"/>
    <w:rsid w:val="00165215"/>
    <w:rsid w:val="00165CC7"/>
    <w:rsid w:val="001755D3"/>
    <w:rsid w:val="00180355"/>
    <w:rsid w:val="00183861"/>
    <w:rsid w:val="001871FD"/>
    <w:rsid w:val="0019447E"/>
    <w:rsid w:val="001A02F9"/>
    <w:rsid w:val="001A7752"/>
    <w:rsid w:val="001C4218"/>
    <w:rsid w:val="001C45EB"/>
    <w:rsid w:val="001C544F"/>
    <w:rsid w:val="001D330C"/>
    <w:rsid w:val="001D438F"/>
    <w:rsid w:val="001E1521"/>
    <w:rsid w:val="001E5472"/>
    <w:rsid w:val="001E573C"/>
    <w:rsid w:val="001E65DE"/>
    <w:rsid w:val="001F18DE"/>
    <w:rsid w:val="001F31CB"/>
    <w:rsid w:val="001F6940"/>
    <w:rsid w:val="00211CA9"/>
    <w:rsid w:val="00223761"/>
    <w:rsid w:val="002418D0"/>
    <w:rsid w:val="00247225"/>
    <w:rsid w:val="00251D33"/>
    <w:rsid w:val="0025260E"/>
    <w:rsid w:val="002564CF"/>
    <w:rsid w:val="00260096"/>
    <w:rsid w:val="00263D88"/>
    <w:rsid w:val="00265A6E"/>
    <w:rsid w:val="00271696"/>
    <w:rsid w:val="002742D2"/>
    <w:rsid w:val="002862A3"/>
    <w:rsid w:val="002A109A"/>
    <w:rsid w:val="002A3A1B"/>
    <w:rsid w:val="002A7720"/>
    <w:rsid w:val="002A7A58"/>
    <w:rsid w:val="002B6271"/>
    <w:rsid w:val="002B79F3"/>
    <w:rsid w:val="002C1AF1"/>
    <w:rsid w:val="002C24CB"/>
    <w:rsid w:val="002E555C"/>
    <w:rsid w:val="002F1994"/>
    <w:rsid w:val="002F3C00"/>
    <w:rsid w:val="002F3F02"/>
    <w:rsid w:val="003036CB"/>
    <w:rsid w:val="0030759E"/>
    <w:rsid w:val="00317C60"/>
    <w:rsid w:val="00322BBC"/>
    <w:rsid w:val="00326159"/>
    <w:rsid w:val="00333F31"/>
    <w:rsid w:val="0033466E"/>
    <w:rsid w:val="0033681A"/>
    <w:rsid w:val="00337050"/>
    <w:rsid w:val="00340735"/>
    <w:rsid w:val="00343CEC"/>
    <w:rsid w:val="00351F76"/>
    <w:rsid w:val="00352147"/>
    <w:rsid w:val="0035744E"/>
    <w:rsid w:val="0035753E"/>
    <w:rsid w:val="0036255F"/>
    <w:rsid w:val="00370DE3"/>
    <w:rsid w:val="00381DF3"/>
    <w:rsid w:val="0038583D"/>
    <w:rsid w:val="00391260"/>
    <w:rsid w:val="0039273B"/>
    <w:rsid w:val="00392CAE"/>
    <w:rsid w:val="003A338A"/>
    <w:rsid w:val="003A4061"/>
    <w:rsid w:val="003B1F9E"/>
    <w:rsid w:val="003B2CB9"/>
    <w:rsid w:val="003D09B3"/>
    <w:rsid w:val="003D2E7D"/>
    <w:rsid w:val="003D53F6"/>
    <w:rsid w:val="003E40B1"/>
    <w:rsid w:val="003E503A"/>
    <w:rsid w:val="003F2B58"/>
    <w:rsid w:val="0040098F"/>
    <w:rsid w:val="004042A8"/>
    <w:rsid w:val="00430989"/>
    <w:rsid w:val="0043565D"/>
    <w:rsid w:val="0043788F"/>
    <w:rsid w:val="004441CC"/>
    <w:rsid w:val="004510B4"/>
    <w:rsid w:val="0046786F"/>
    <w:rsid w:val="004704A3"/>
    <w:rsid w:val="004706B6"/>
    <w:rsid w:val="0047540B"/>
    <w:rsid w:val="004957E2"/>
    <w:rsid w:val="004C53EF"/>
    <w:rsid w:val="004D2F32"/>
    <w:rsid w:val="004D78B7"/>
    <w:rsid w:val="004E078D"/>
    <w:rsid w:val="004E496D"/>
    <w:rsid w:val="004F17FD"/>
    <w:rsid w:val="004F62C9"/>
    <w:rsid w:val="005026FB"/>
    <w:rsid w:val="0050577F"/>
    <w:rsid w:val="005065E4"/>
    <w:rsid w:val="00523DF4"/>
    <w:rsid w:val="005417C4"/>
    <w:rsid w:val="0055463A"/>
    <w:rsid w:val="00562FD3"/>
    <w:rsid w:val="00575C69"/>
    <w:rsid w:val="00586EC7"/>
    <w:rsid w:val="005926BC"/>
    <w:rsid w:val="005A31A9"/>
    <w:rsid w:val="005A36A2"/>
    <w:rsid w:val="005B2420"/>
    <w:rsid w:val="005B2699"/>
    <w:rsid w:val="005C6A09"/>
    <w:rsid w:val="005E6B5A"/>
    <w:rsid w:val="0060301E"/>
    <w:rsid w:val="006077E8"/>
    <w:rsid w:val="0063056C"/>
    <w:rsid w:val="006372F0"/>
    <w:rsid w:val="00651549"/>
    <w:rsid w:val="006571EF"/>
    <w:rsid w:val="006572DB"/>
    <w:rsid w:val="00657A6C"/>
    <w:rsid w:val="00660680"/>
    <w:rsid w:val="00662C90"/>
    <w:rsid w:val="00671772"/>
    <w:rsid w:val="00683E83"/>
    <w:rsid w:val="006A0F06"/>
    <w:rsid w:val="006B1C6F"/>
    <w:rsid w:val="006B1DD9"/>
    <w:rsid w:val="006B7D98"/>
    <w:rsid w:val="006C240A"/>
    <w:rsid w:val="006C7A16"/>
    <w:rsid w:val="006D5BEF"/>
    <w:rsid w:val="006E47AB"/>
    <w:rsid w:val="006E65ED"/>
    <w:rsid w:val="006F249B"/>
    <w:rsid w:val="007014A7"/>
    <w:rsid w:val="0073751E"/>
    <w:rsid w:val="00741FA9"/>
    <w:rsid w:val="00745549"/>
    <w:rsid w:val="0074571F"/>
    <w:rsid w:val="00752832"/>
    <w:rsid w:val="00753257"/>
    <w:rsid w:val="00754612"/>
    <w:rsid w:val="007562DA"/>
    <w:rsid w:val="00757191"/>
    <w:rsid w:val="00763EC9"/>
    <w:rsid w:val="00772DB9"/>
    <w:rsid w:val="007753EF"/>
    <w:rsid w:val="007817F9"/>
    <w:rsid w:val="00782174"/>
    <w:rsid w:val="0078487D"/>
    <w:rsid w:val="0079028F"/>
    <w:rsid w:val="00794662"/>
    <w:rsid w:val="007A7005"/>
    <w:rsid w:val="007D137E"/>
    <w:rsid w:val="007D371E"/>
    <w:rsid w:val="007E171E"/>
    <w:rsid w:val="007F656C"/>
    <w:rsid w:val="00801E31"/>
    <w:rsid w:val="008078E4"/>
    <w:rsid w:val="008217EF"/>
    <w:rsid w:val="00831F28"/>
    <w:rsid w:val="00855F5C"/>
    <w:rsid w:val="00866750"/>
    <w:rsid w:val="00867801"/>
    <w:rsid w:val="00877F67"/>
    <w:rsid w:val="00884B22"/>
    <w:rsid w:val="008865A5"/>
    <w:rsid w:val="008866BA"/>
    <w:rsid w:val="008959BD"/>
    <w:rsid w:val="008A35CF"/>
    <w:rsid w:val="008C3DF1"/>
    <w:rsid w:val="008C40BF"/>
    <w:rsid w:val="008E1AFA"/>
    <w:rsid w:val="00900865"/>
    <w:rsid w:val="00904AA1"/>
    <w:rsid w:val="009106E2"/>
    <w:rsid w:val="00916A04"/>
    <w:rsid w:val="00916EBE"/>
    <w:rsid w:val="00920698"/>
    <w:rsid w:val="00937FF1"/>
    <w:rsid w:val="00941350"/>
    <w:rsid w:val="00950C47"/>
    <w:rsid w:val="009554AD"/>
    <w:rsid w:val="00957720"/>
    <w:rsid w:val="00963E05"/>
    <w:rsid w:val="009647C1"/>
    <w:rsid w:val="00974D5F"/>
    <w:rsid w:val="0098308F"/>
    <w:rsid w:val="009872C9"/>
    <w:rsid w:val="00992A76"/>
    <w:rsid w:val="00993C54"/>
    <w:rsid w:val="009C02B1"/>
    <w:rsid w:val="009C384B"/>
    <w:rsid w:val="009D7B7B"/>
    <w:rsid w:val="009F3B9B"/>
    <w:rsid w:val="009F7946"/>
    <w:rsid w:val="00A152D5"/>
    <w:rsid w:val="00A17430"/>
    <w:rsid w:val="00A20DAB"/>
    <w:rsid w:val="00A238B0"/>
    <w:rsid w:val="00A31245"/>
    <w:rsid w:val="00A343AA"/>
    <w:rsid w:val="00A36063"/>
    <w:rsid w:val="00A50432"/>
    <w:rsid w:val="00A515AA"/>
    <w:rsid w:val="00A53AB8"/>
    <w:rsid w:val="00A60742"/>
    <w:rsid w:val="00A66DBB"/>
    <w:rsid w:val="00A67E26"/>
    <w:rsid w:val="00A8138A"/>
    <w:rsid w:val="00A85D0D"/>
    <w:rsid w:val="00A93EC1"/>
    <w:rsid w:val="00A94360"/>
    <w:rsid w:val="00A9580A"/>
    <w:rsid w:val="00A9690A"/>
    <w:rsid w:val="00A9710F"/>
    <w:rsid w:val="00AA1BD9"/>
    <w:rsid w:val="00AA25D0"/>
    <w:rsid w:val="00AA5173"/>
    <w:rsid w:val="00AD6CF7"/>
    <w:rsid w:val="00AE5091"/>
    <w:rsid w:val="00AE7CBA"/>
    <w:rsid w:val="00AF257B"/>
    <w:rsid w:val="00AF2C57"/>
    <w:rsid w:val="00AF2F03"/>
    <w:rsid w:val="00B22370"/>
    <w:rsid w:val="00B26C0A"/>
    <w:rsid w:val="00B35C4F"/>
    <w:rsid w:val="00B4721B"/>
    <w:rsid w:val="00B55977"/>
    <w:rsid w:val="00B5764A"/>
    <w:rsid w:val="00B62582"/>
    <w:rsid w:val="00B64F4A"/>
    <w:rsid w:val="00B74619"/>
    <w:rsid w:val="00B7501A"/>
    <w:rsid w:val="00B77821"/>
    <w:rsid w:val="00B806C8"/>
    <w:rsid w:val="00B8363C"/>
    <w:rsid w:val="00B858EE"/>
    <w:rsid w:val="00B901EF"/>
    <w:rsid w:val="00B9207B"/>
    <w:rsid w:val="00B940D3"/>
    <w:rsid w:val="00B95A9C"/>
    <w:rsid w:val="00B95F29"/>
    <w:rsid w:val="00BA4E7D"/>
    <w:rsid w:val="00BA5292"/>
    <w:rsid w:val="00BA53C9"/>
    <w:rsid w:val="00BB0E17"/>
    <w:rsid w:val="00BB295B"/>
    <w:rsid w:val="00BB29A7"/>
    <w:rsid w:val="00BB3016"/>
    <w:rsid w:val="00BB7235"/>
    <w:rsid w:val="00BD2BC2"/>
    <w:rsid w:val="00BD5101"/>
    <w:rsid w:val="00BE0470"/>
    <w:rsid w:val="00BE64EC"/>
    <w:rsid w:val="00BF0435"/>
    <w:rsid w:val="00BF1F2E"/>
    <w:rsid w:val="00C011C0"/>
    <w:rsid w:val="00C056F2"/>
    <w:rsid w:val="00C064CA"/>
    <w:rsid w:val="00C1429F"/>
    <w:rsid w:val="00C215A3"/>
    <w:rsid w:val="00C27F2F"/>
    <w:rsid w:val="00C36F45"/>
    <w:rsid w:val="00C406B5"/>
    <w:rsid w:val="00C446C9"/>
    <w:rsid w:val="00C5039A"/>
    <w:rsid w:val="00C50E60"/>
    <w:rsid w:val="00C527F5"/>
    <w:rsid w:val="00C54F3D"/>
    <w:rsid w:val="00C557B6"/>
    <w:rsid w:val="00C60AAD"/>
    <w:rsid w:val="00C61B70"/>
    <w:rsid w:val="00C6315D"/>
    <w:rsid w:val="00C74354"/>
    <w:rsid w:val="00C8333F"/>
    <w:rsid w:val="00C87BB7"/>
    <w:rsid w:val="00C91500"/>
    <w:rsid w:val="00C94140"/>
    <w:rsid w:val="00C958DC"/>
    <w:rsid w:val="00CA0333"/>
    <w:rsid w:val="00CA0476"/>
    <w:rsid w:val="00CA4605"/>
    <w:rsid w:val="00CA74E2"/>
    <w:rsid w:val="00CB01BC"/>
    <w:rsid w:val="00CC7B5D"/>
    <w:rsid w:val="00D06EA8"/>
    <w:rsid w:val="00D237AA"/>
    <w:rsid w:val="00D31DE3"/>
    <w:rsid w:val="00D41E9D"/>
    <w:rsid w:val="00D4772C"/>
    <w:rsid w:val="00D60E33"/>
    <w:rsid w:val="00D6164B"/>
    <w:rsid w:val="00D6174E"/>
    <w:rsid w:val="00D65919"/>
    <w:rsid w:val="00D84D5B"/>
    <w:rsid w:val="00D8574D"/>
    <w:rsid w:val="00D9566A"/>
    <w:rsid w:val="00DA1EB7"/>
    <w:rsid w:val="00DC1C81"/>
    <w:rsid w:val="00DD5F8C"/>
    <w:rsid w:val="00DF09C8"/>
    <w:rsid w:val="00DF1B5C"/>
    <w:rsid w:val="00DF38FE"/>
    <w:rsid w:val="00DF61C4"/>
    <w:rsid w:val="00DF6799"/>
    <w:rsid w:val="00DF6C8D"/>
    <w:rsid w:val="00E0552C"/>
    <w:rsid w:val="00E05B07"/>
    <w:rsid w:val="00E1317D"/>
    <w:rsid w:val="00E13244"/>
    <w:rsid w:val="00E20967"/>
    <w:rsid w:val="00E245FB"/>
    <w:rsid w:val="00E33AD9"/>
    <w:rsid w:val="00E343D7"/>
    <w:rsid w:val="00E41F16"/>
    <w:rsid w:val="00E45F44"/>
    <w:rsid w:val="00E4705C"/>
    <w:rsid w:val="00E472DD"/>
    <w:rsid w:val="00E54BB6"/>
    <w:rsid w:val="00E55AA9"/>
    <w:rsid w:val="00E6203C"/>
    <w:rsid w:val="00E67270"/>
    <w:rsid w:val="00E749B1"/>
    <w:rsid w:val="00E80D1B"/>
    <w:rsid w:val="00E84098"/>
    <w:rsid w:val="00E84CAC"/>
    <w:rsid w:val="00E9647D"/>
    <w:rsid w:val="00EB1B72"/>
    <w:rsid w:val="00EB4E54"/>
    <w:rsid w:val="00EC0DDB"/>
    <w:rsid w:val="00ED14FF"/>
    <w:rsid w:val="00ED60E6"/>
    <w:rsid w:val="00ED7444"/>
    <w:rsid w:val="00EE1690"/>
    <w:rsid w:val="00EE2504"/>
    <w:rsid w:val="00EE709A"/>
    <w:rsid w:val="00EF3217"/>
    <w:rsid w:val="00F007EA"/>
    <w:rsid w:val="00F07434"/>
    <w:rsid w:val="00F33C84"/>
    <w:rsid w:val="00F35868"/>
    <w:rsid w:val="00F471AA"/>
    <w:rsid w:val="00F55A5A"/>
    <w:rsid w:val="00F61F8E"/>
    <w:rsid w:val="00F71BBE"/>
    <w:rsid w:val="00F71FA1"/>
    <w:rsid w:val="00F74AE2"/>
    <w:rsid w:val="00F7530B"/>
    <w:rsid w:val="00F813DC"/>
    <w:rsid w:val="00FA4714"/>
    <w:rsid w:val="00FA6213"/>
    <w:rsid w:val="00FB3B6E"/>
    <w:rsid w:val="00FC2CCB"/>
    <w:rsid w:val="00FD4022"/>
    <w:rsid w:val="00FF375D"/>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8138A"/>
    <w:rPr>
      <w:sz w:val="24"/>
      <w:szCs w:val="24"/>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A8138A"/>
    <w:pPr>
      <w:tabs>
        <w:tab w:val="center" w:pos="4419"/>
        <w:tab w:val="right" w:pos="8838"/>
      </w:tabs>
    </w:pPr>
  </w:style>
  <w:style w:type="character" w:customStyle="1" w:styleId="EncabezadoCar">
    <w:name w:val="Encabezado Car"/>
    <w:basedOn w:val="Fuentedeprrafopredeter"/>
    <w:link w:val="Encabezado"/>
    <w:semiHidden/>
    <w:locked/>
    <w:rsid w:val="00A8138A"/>
    <w:rPr>
      <w:sz w:val="24"/>
      <w:szCs w:val="24"/>
      <w:lang w:val="es-MX" w:eastAsia="es-ES" w:bidi="ar-SA"/>
    </w:rPr>
  </w:style>
  <w:style w:type="paragraph" w:styleId="Piedepgina">
    <w:name w:val="footer"/>
    <w:basedOn w:val="Normal"/>
    <w:link w:val="PiedepginaCar"/>
    <w:rsid w:val="00A8138A"/>
    <w:pPr>
      <w:tabs>
        <w:tab w:val="center" w:pos="4419"/>
        <w:tab w:val="right" w:pos="8838"/>
      </w:tabs>
    </w:pPr>
  </w:style>
  <w:style w:type="character" w:customStyle="1" w:styleId="PiedepginaCar">
    <w:name w:val="Pie de página Car"/>
    <w:basedOn w:val="Fuentedeprrafopredeter"/>
    <w:link w:val="Piedepgina"/>
    <w:semiHidden/>
    <w:locked/>
    <w:rsid w:val="00A8138A"/>
    <w:rPr>
      <w:sz w:val="24"/>
      <w:szCs w:val="24"/>
      <w:lang w:val="es-MX" w:eastAsia="es-ES" w:bidi="ar-SA"/>
    </w:rPr>
  </w:style>
  <w:style w:type="paragraph" w:styleId="Textodeglobo">
    <w:name w:val="Balloon Text"/>
    <w:basedOn w:val="Normal"/>
    <w:link w:val="TextodegloboCar"/>
    <w:rsid w:val="006D5BEF"/>
    <w:rPr>
      <w:rFonts w:ascii="Tahoma" w:hAnsi="Tahoma" w:cs="Tahoma"/>
      <w:sz w:val="16"/>
      <w:szCs w:val="16"/>
    </w:rPr>
  </w:style>
  <w:style w:type="character" w:customStyle="1" w:styleId="TextodegloboCar">
    <w:name w:val="Texto de globo Car"/>
    <w:basedOn w:val="Fuentedeprrafopredeter"/>
    <w:link w:val="Textodeglobo"/>
    <w:rsid w:val="006D5BEF"/>
    <w:rPr>
      <w:rFonts w:ascii="Tahoma" w:hAnsi="Tahoma" w:cs="Tahoma"/>
      <w:sz w:val="16"/>
      <w:szCs w:val="16"/>
      <w:lang w:val="es-MX"/>
    </w:rPr>
  </w:style>
  <w:style w:type="paragraph" w:styleId="Prrafodelista">
    <w:name w:val="List Paragraph"/>
    <w:basedOn w:val="Normal"/>
    <w:uiPriority w:val="34"/>
    <w:qFormat/>
    <w:rsid w:val="009647C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450</Words>
  <Characters>2479</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El Consejo General del Instituto Chihuahuense para la Transparencia y Acceso a la Información Pública, con fundamento en el artículo 50, fracción I, inciso a), de la Ley de Transparencia y Acceso a la Información Pública del Estado de Chihuahua y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Consejo General del Instituto Chihuahuense para la Transparencia y Acceso a la Información Pública, con fundamento en el artículo 50, fracción I, inciso a), de la Ley de Transparencia y Acceso a la Información Pública del Estado de Chihuahua y </dc:title>
  <dc:subject/>
  <dc:creator>nsolis</dc:creator>
  <cp:keywords/>
  <dc:description/>
  <cp:lastModifiedBy>ICHITAIP0168</cp:lastModifiedBy>
  <cp:revision>4</cp:revision>
  <cp:lastPrinted>2011-03-11T22:05:00Z</cp:lastPrinted>
  <dcterms:created xsi:type="dcterms:W3CDTF">2011-03-15T20:23:00Z</dcterms:created>
  <dcterms:modified xsi:type="dcterms:W3CDTF">2011-04-19T19:47:00Z</dcterms:modified>
</cp:coreProperties>
</file>