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D3F" w:rsidRDefault="00767D3F" w:rsidP="00767D3F">
      <w:pPr>
        <w:pStyle w:val="TituloCapitulo"/>
      </w:pPr>
      <w:r>
        <w:t>TÍTULO TERCERO</w:t>
      </w:r>
    </w:p>
    <w:p w:rsidR="00767D3F" w:rsidRDefault="00767D3F" w:rsidP="00767D3F">
      <w:pPr>
        <w:pStyle w:val="TituloCapitulo"/>
      </w:pPr>
      <w:r>
        <w:t xml:space="preserve">DE </w:t>
      </w:r>
      <w:smartTag w:uri="urn:schemas-microsoft-com:office:smarttags" w:element="PersonName">
        <w:smartTagPr>
          <w:attr w:name="ProductID" w:val="LA INFORMACIÓN PÚBLICA"/>
        </w:smartTagPr>
        <w:r>
          <w:t>LA INFORMACIÓN PÚBLICA</w:t>
        </w:r>
      </w:smartTag>
    </w:p>
    <w:p w:rsidR="00767D3F" w:rsidRDefault="00767D3F" w:rsidP="00767D3F">
      <w:pPr>
        <w:pStyle w:val="TituloCapitulo"/>
      </w:pPr>
    </w:p>
    <w:p w:rsidR="00767D3F" w:rsidRDefault="00767D3F" w:rsidP="00767D3F">
      <w:pPr>
        <w:pStyle w:val="TituloCapitulo"/>
      </w:pPr>
      <w:r>
        <w:t>CAPÍTULO II</w:t>
      </w:r>
    </w:p>
    <w:p w:rsidR="00767D3F" w:rsidRDefault="00767D3F" w:rsidP="00767D3F">
      <w:pPr>
        <w:pStyle w:val="TituloCapitulo"/>
      </w:pPr>
      <w:r>
        <w:t>DE LA INFORMACIÓN PÚBLICA DE OFICIO</w:t>
      </w:r>
    </w:p>
    <w:p w:rsidR="00767D3F" w:rsidRDefault="00767D3F"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r w:rsidRPr="00C910B0">
        <w:rPr>
          <w:rFonts w:ascii="Palatino Linotype" w:hAnsi="Palatino Linotype" w:cs="Arial"/>
          <w:b/>
          <w:color w:val="000000"/>
          <w:sz w:val="20"/>
          <w:szCs w:val="20"/>
        </w:rPr>
        <w:t>Artículo 38.-</w:t>
      </w:r>
      <w:r w:rsidRPr="00767D3F">
        <w:rPr>
          <w:rFonts w:ascii="Palatino Linotype" w:hAnsi="Palatino Linotype" w:cs="Arial"/>
          <w:color w:val="000000"/>
          <w:sz w:val="20"/>
          <w:szCs w:val="20"/>
        </w:rPr>
        <w:t xml:space="preserve"> En lo referente a la información pública de oficio a la que se refiere 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I.-</w:t>
      </w:r>
      <w:r w:rsidRPr="00767D3F">
        <w:rPr>
          <w:rFonts w:ascii="Palatino Linotype" w:hAnsi="Palatino Linotype" w:cs="Arial"/>
          <w:color w:val="000000"/>
          <w:sz w:val="20"/>
          <w:szCs w:val="20"/>
        </w:rPr>
        <w:t xml:space="preserve"> Respecto de la estructura orgánica a la que se refiere la fracción I del artículo 20 de la Ley, deberán</w:t>
      </w:r>
      <w:r w:rsidR="00767D3F">
        <w:rPr>
          <w:rFonts w:ascii="Palatino Linotype" w:hAnsi="Palatino Linotype" w:cs="Arial"/>
          <w:color w:val="000000"/>
          <w:sz w:val="20"/>
          <w:szCs w:val="20"/>
        </w:rPr>
        <w:t xml:space="preserve"> </w:t>
      </w:r>
      <w:r w:rsidRPr="00767D3F">
        <w:rPr>
          <w:rFonts w:ascii="Palatino Linotype" w:hAnsi="Palatino Linotype" w:cs="Arial"/>
          <w:color w:val="000000"/>
          <w:sz w:val="20"/>
          <w:szCs w:val="20"/>
        </w:rPr>
        <w:t>señalarse la denominación de los puestos, el nombre de sus titulares, desde jefe de departamento o</w:t>
      </w:r>
      <w:r w:rsidR="00767D3F">
        <w:rPr>
          <w:rFonts w:ascii="Palatino Linotype" w:hAnsi="Palatino Linotype" w:cs="Arial"/>
          <w:color w:val="000000"/>
          <w:sz w:val="20"/>
          <w:szCs w:val="20"/>
        </w:rPr>
        <w:t xml:space="preserve"> </w:t>
      </w:r>
      <w:r w:rsidRPr="00767D3F">
        <w:rPr>
          <w:rFonts w:ascii="Palatino Linotype" w:hAnsi="Palatino Linotype" w:cs="Arial"/>
          <w:color w:val="000000"/>
          <w:sz w:val="20"/>
          <w:szCs w:val="20"/>
        </w:rPr>
        <w:t>su equivalente en razón a la naturaleza de la función que desempeña, así como las atribuciones del</w:t>
      </w:r>
      <w:r w:rsidR="00767D3F">
        <w:rPr>
          <w:rFonts w:ascii="Palatino Linotype" w:hAnsi="Palatino Linotype" w:cs="Arial"/>
          <w:color w:val="000000"/>
          <w:sz w:val="20"/>
          <w:szCs w:val="20"/>
        </w:rPr>
        <w:t xml:space="preserve"> </w:t>
      </w:r>
      <w:r w:rsidRPr="00767D3F">
        <w:rPr>
          <w:rFonts w:ascii="Palatino Linotype" w:hAnsi="Palatino Linotype" w:cs="Arial"/>
          <w:color w:val="000000"/>
          <w:sz w:val="20"/>
          <w:szCs w:val="20"/>
        </w:rPr>
        <w:t>ente público.</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r w:rsidRPr="00767D3F">
        <w:rPr>
          <w:rFonts w:ascii="Palatino Linotype" w:hAnsi="Palatino Linotype" w:cs="Arial"/>
          <w:color w:val="000000"/>
          <w:sz w:val="20"/>
          <w:szCs w:val="20"/>
        </w:rPr>
        <w:t>La normatividad que los rige comprenderá:</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a).- Texto de los artículos constitucionales, federal y estatal, aplicables;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b).- Ley o Leyes relacionadas;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c).- Reglamentos;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d).- Acuerdos administrativos de carácter general;</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e).- Normas oficiales de carácter regulatorio respecto de las actividades que lo requieran, tales como</w:t>
      </w:r>
      <w:r w:rsidR="00767D3F">
        <w:rPr>
          <w:rFonts w:ascii="Palatino Linotype" w:hAnsi="Palatino Linotype" w:cs="Arial"/>
          <w:sz w:val="20"/>
          <w:szCs w:val="20"/>
        </w:rPr>
        <w:t xml:space="preserve"> </w:t>
      </w:r>
      <w:r w:rsidRPr="00767D3F">
        <w:rPr>
          <w:rFonts w:ascii="Palatino Linotype" w:hAnsi="Palatino Linotype" w:cs="Arial"/>
          <w:color w:val="000000"/>
          <w:sz w:val="20"/>
          <w:szCs w:val="20"/>
        </w:rPr>
        <w:t>en salud, control sanitario, protección civil, ecológicas, u otras;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f).- Oficios o circulares internas que organicen administrativamente el ente público;</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g).- Las demás que se consideren relevantes.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II.-</w:t>
      </w:r>
      <w:r w:rsidRPr="00767D3F">
        <w:rPr>
          <w:rFonts w:ascii="Palatino Linotype" w:hAnsi="Palatino Linotype" w:cs="Arial"/>
          <w:color w:val="000000"/>
          <w:sz w:val="20"/>
          <w:szCs w:val="20"/>
        </w:rPr>
        <w:t xml:space="preserve"> En lo referente a la fracción II,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sz w:val="20"/>
          <w:szCs w:val="20"/>
        </w:rPr>
        <w:t>El directorio, desde el nivel de jefe de departamento y sus equivalentes atendiendo a la naturaleza de la función que desempeña, incluirá el nombre, cargo, número telefónico oficial, domicilio oficial y, en caso de contar con ellos, el número de fax y la dirección electrónica oficial.</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III.-</w:t>
      </w:r>
      <w:r w:rsidRPr="00767D3F">
        <w:rPr>
          <w:rFonts w:ascii="Palatino Linotype" w:hAnsi="Palatino Linotype" w:cs="Arial"/>
          <w:color w:val="000000"/>
          <w:sz w:val="20"/>
          <w:szCs w:val="20"/>
        </w:rPr>
        <w:t xml:space="preserve"> En lo referente a la fracción III,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En lo relativo a la información sobre las remuneraciones desde el nivel de jefe de departamento y sus equivalentes atendiendo a la naturaleza de la función que desempeña, se deberá publicar por cada uno de los puestos su percepción mensual.</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IV.-</w:t>
      </w:r>
      <w:r w:rsidRPr="00767D3F">
        <w:rPr>
          <w:rFonts w:ascii="Palatino Linotype" w:hAnsi="Palatino Linotype" w:cs="Arial"/>
          <w:color w:val="000000"/>
          <w:sz w:val="20"/>
          <w:szCs w:val="20"/>
        </w:rPr>
        <w:t xml:space="preserve"> En lo referente a la fracción IV,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sz w:val="20"/>
          <w:szCs w:val="20"/>
        </w:rPr>
        <w:t>En lo relativo a viáticos o gastos de representación, se precisarán los tabuladores de montos</w:t>
      </w:r>
      <w:r w:rsidR="00767D3F">
        <w:rPr>
          <w:rFonts w:ascii="Palatino Linotype" w:hAnsi="Palatino Linotype" w:cs="Arial"/>
          <w:sz w:val="20"/>
          <w:szCs w:val="20"/>
        </w:rPr>
        <w:t xml:space="preserve"> </w:t>
      </w:r>
      <w:r w:rsidRPr="00767D3F">
        <w:rPr>
          <w:rFonts w:ascii="Palatino Linotype" w:hAnsi="Palatino Linotype" w:cs="Arial"/>
          <w:sz w:val="20"/>
          <w:szCs w:val="20"/>
        </w:rPr>
        <w:t>autorizados por nivel y por destino, el presupuesto anual autorizado y su ejercicio trimestral.</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sz w:val="20"/>
          <w:szCs w:val="20"/>
        </w:rPr>
        <w:t>V.-</w:t>
      </w:r>
      <w:r w:rsidRPr="00767D3F">
        <w:rPr>
          <w:rFonts w:ascii="Palatino Linotype" w:hAnsi="Palatino Linotype" w:cs="Arial"/>
          <w:sz w:val="20"/>
          <w:szCs w:val="20"/>
        </w:rPr>
        <w:t xml:space="preserve"> En lo referente a la fracción V,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sz w:val="20"/>
          <w:szCs w:val="20"/>
        </w:rPr>
        <w:t xml:space="preserve">Tratándose de declaraciones de situación patrimonial de los servidores públicos obligados por la Ley, las instancias administrativas de los entes públicos facultadas para la recepción y resguardo de las mismas, una vez que se hayan presentado por parte de los servidores públicos obligados a ello </w:t>
      </w:r>
      <w:r w:rsidRPr="00767D3F">
        <w:rPr>
          <w:rFonts w:ascii="Palatino Linotype" w:hAnsi="Palatino Linotype" w:cs="Arial"/>
          <w:sz w:val="20"/>
          <w:szCs w:val="20"/>
        </w:rPr>
        <w:lastRenderedPageBreak/>
        <w:t>conforme a la normatividad aplicable, en coordinación con la Unidad de Información que corresponda, procederá a elaborar el proyecto de las versiones públicas y las remitirá al Comité de Información del Sujeto Obligado, a efecto de que éste emita el Acuerdo de clasificación respectivo y de esta manera, la Unidad de Información difunda la versión pública en los términos del artículo 20 de la Ley.</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La versión pública contendrá, por lo menos, los siguientes conceptos: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a).- Nombre del servidor público;</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b).- Identificación y domicilio de la dependencia o entidad donde labora;</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c).- Tipo de declaración: de inicio, anual o final; y,</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d).- Periodo al que corresponde la declaración, en su caso;</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En relación a los demás rubros contenidos en las declaraciones de situación patrimonial que en lo subsecuente se presenten, los servidores públicos deberán manifestar su consentimiento para publicitar los mismos.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VI.-</w:t>
      </w:r>
      <w:r w:rsidRPr="00767D3F">
        <w:rPr>
          <w:rFonts w:ascii="Palatino Linotype" w:hAnsi="Palatino Linotype" w:cs="Arial"/>
          <w:color w:val="000000"/>
          <w:sz w:val="20"/>
          <w:szCs w:val="20"/>
        </w:rPr>
        <w:t xml:space="preserve"> En lo referente a la fracción VI,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Los entes públicos deberán transparentar la información relativ</w:t>
      </w:r>
      <w:r w:rsidR="00767D3F">
        <w:rPr>
          <w:rFonts w:ascii="Palatino Linotype" w:hAnsi="Palatino Linotype" w:cs="Arial"/>
          <w:color w:val="000000"/>
          <w:sz w:val="20"/>
          <w:szCs w:val="20"/>
        </w:rPr>
        <w:t xml:space="preserve">a a nombre, domicilio oficial y </w:t>
      </w:r>
      <w:r w:rsidRPr="00767D3F">
        <w:rPr>
          <w:rFonts w:ascii="Palatino Linotype" w:hAnsi="Palatino Linotype" w:cs="Arial"/>
          <w:color w:val="000000"/>
          <w:sz w:val="20"/>
          <w:szCs w:val="20"/>
        </w:rPr>
        <w:t>dirección electrónica oficial, en su caso, de los servidores públicos encargados del Comité de Información y de la Unidad de Información, así como los números telefónicos de esta última.</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VII.-</w:t>
      </w:r>
      <w:r w:rsidRPr="00767D3F">
        <w:rPr>
          <w:rFonts w:ascii="Palatino Linotype" w:hAnsi="Palatino Linotype" w:cs="Arial"/>
          <w:color w:val="000000"/>
          <w:sz w:val="20"/>
          <w:szCs w:val="20"/>
        </w:rPr>
        <w:t xml:space="preserve"> En lo referente a la fracción VII,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Por lo que respecta a los Planes de Desarrollo, se deberá particularizar la parte del mismo que</w:t>
      </w:r>
      <w:r w:rsidR="00767D3F">
        <w:rPr>
          <w:rFonts w:ascii="Palatino Linotype" w:hAnsi="Palatino Linotype" w:cs="Arial"/>
          <w:sz w:val="20"/>
          <w:szCs w:val="20"/>
        </w:rPr>
        <w:t xml:space="preserve"> </w:t>
      </w:r>
      <w:r w:rsidRPr="00767D3F">
        <w:rPr>
          <w:rFonts w:ascii="Palatino Linotype" w:hAnsi="Palatino Linotype" w:cs="Arial"/>
          <w:color w:val="000000"/>
          <w:sz w:val="20"/>
          <w:szCs w:val="20"/>
        </w:rPr>
        <w:t>guarde relación con las atribuciones del ente público, describiendo las metas y objetivos; tratándose de programas operativos anuales, se difundirá la información rela</w:t>
      </w:r>
      <w:r w:rsidR="00767D3F">
        <w:rPr>
          <w:rFonts w:ascii="Palatino Linotype" w:hAnsi="Palatino Linotype" w:cs="Arial"/>
          <w:color w:val="000000"/>
          <w:sz w:val="20"/>
          <w:szCs w:val="20"/>
        </w:rPr>
        <w:t xml:space="preserve">tiva a la función, sub función y </w:t>
      </w:r>
      <w:r w:rsidRPr="00767D3F">
        <w:rPr>
          <w:rFonts w:ascii="Palatino Linotype" w:hAnsi="Palatino Linotype" w:cs="Arial"/>
          <w:color w:val="000000"/>
          <w:sz w:val="20"/>
          <w:szCs w:val="20"/>
        </w:rPr>
        <w:t>programa, que las unidades administrativas deben llevar a cabo y sus avances, cuando así corresponda.</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VIII.-</w:t>
      </w:r>
      <w:r w:rsidRPr="00767D3F">
        <w:rPr>
          <w:rFonts w:ascii="Palatino Linotype" w:hAnsi="Palatino Linotype" w:cs="Arial"/>
          <w:color w:val="000000"/>
          <w:sz w:val="20"/>
          <w:szCs w:val="20"/>
        </w:rPr>
        <w:t xml:space="preserve"> En lo referente a la fracción VIII,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sz w:val="20"/>
          <w:szCs w:val="20"/>
        </w:rPr>
        <w:t>Deberán darse a conocer claramente cuáles son los programas y servicios que presta el ente</w:t>
      </w:r>
      <w:r w:rsidR="00767D3F">
        <w:rPr>
          <w:rFonts w:ascii="Palatino Linotype" w:hAnsi="Palatino Linotype" w:cs="Arial"/>
          <w:sz w:val="20"/>
          <w:szCs w:val="20"/>
        </w:rPr>
        <w:t xml:space="preserve"> </w:t>
      </w:r>
      <w:r w:rsidRPr="00767D3F">
        <w:rPr>
          <w:rFonts w:ascii="Palatino Linotype" w:hAnsi="Palatino Linotype" w:cs="Arial"/>
          <w:sz w:val="20"/>
          <w:szCs w:val="20"/>
        </w:rPr>
        <w:t>público y cuáles son los trámites que se pueden realizar, gestionar o presentar ante él, así como los formatos, costos y requisitos para su tramitación, detallándose al efecto los siguientes datos:</w:t>
      </w:r>
    </w:p>
    <w:p w:rsidR="00F54487" w:rsidRPr="00767D3F" w:rsidRDefault="00F54487" w:rsidP="00767D3F">
      <w:pPr>
        <w:spacing w:after="0"/>
        <w:jc w:val="both"/>
        <w:rPr>
          <w:rFonts w:ascii="Palatino Linotype" w:hAnsi="Palatino Linotype" w:cs="Arial"/>
          <w:sz w:val="20"/>
          <w:szCs w:val="20"/>
        </w:rPr>
      </w:pPr>
    </w:p>
    <w:p w:rsidR="00767D3F" w:rsidRDefault="003D1DFE" w:rsidP="00767D3F">
      <w:pPr>
        <w:spacing w:after="0"/>
        <w:jc w:val="both"/>
        <w:rPr>
          <w:rFonts w:ascii="Palatino Linotype" w:hAnsi="Palatino Linotype" w:cs="Arial"/>
          <w:sz w:val="20"/>
          <w:szCs w:val="20"/>
        </w:rPr>
      </w:pPr>
      <w:r w:rsidRPr="00767D3F">
        <w:rPr>
          <w:rFonts w:ascii="Palatino Linotype" w:hAnsi="Palatino Linotype" w:cs="Arial"/>
          <w:sz w:val="20"/>
          <w:szCs w:val="20"/>
        </w:rPr>
        <w:t>a).- El nombre o denominación del programa o servicio;</w:t>
      </w:r>
      <w:r w:rsidR="00767D3F">
        <w:rPr>
          <w:rFonts w:ascii="Palatino Linotype" w:hAnsi="Palatino Linotype" w:cs="Arial"/>
          <w:sz w:val="20"/>
          <w:szCs w:val="20"/>
        </w:rPr>
        <w:t xml:space="preserve"> </w:t>
      </w:r>
    </w:p>
    <w:p w:rsidR="003D1DFE" w:rsidRPr="00767D3F" w:rsidRDefault="003D1DFE" w:rsidP="00767D3F">
      <w:pPr>
        <w:spacing w:after="0"/>
        <w:jc w:val="both"/>
        <w:rPr>
          <w:rFonts w:ascii="Palatino Linotype" w:hAnsi="Palatino Linotype" w:cs="Arial"/>
          <w:sz w:val="20"/>
          <w:szCs w:val="20"/>
        </w:rPr>
      </w:pPr>
      <w:r w:rsidRPr="00767D3F">
        <w:rPr>
          <w:rFonts w:ascii="Palatino Linotype" w:hAnsi="Palatino Linotype" w:cs="Arial"/>
          <w:sz w:val="20"/>
          <w:szCs w:val="20"/>
        </w:rPr>
        <w:t>b).- La unidad administrativa que lo administre u otorgue; y</w:t>
      </w:r>
    </w:p>
    <w:p w:rsidR="003D1DFE" w:rsidRPr="00767D3F" w:rsidRDefault="003D1DFE" w:rsidP="00767D3F">
      <w:pPr>
        <w:spacing w:after="0"/>
        <w:jc w:val="both"/>
        <w:rPr>
          <w:rFonts w:ascii="Palatino Linotype" w:hAnsi="Palatino Linotype" w:cs="Arial"/>
          <w:sz w:val="20"/>
          <w:szCs w:val="20"/>
        </w:rPr>
      </w:pPr>
      <w:r w:rsidRPr="00767D3F">
        <w:rPr>
          <w:rFonts w:ascii="Palatino Linotype" w:hAnsi="Palatino Linotype" w:cs="Arial"/>
          <w:sz w:val="20"/>
          <w:szCs w:val="20"/>
        </w:rPr>
        <w:t>c).- La población beneficiaria.</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 xml:space="preserve"> </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IX.-</w:t>
      </w:r>
      <w:r w:rsidRPr="00767D3F">
        <w:rPr>
          <w:rFonts w:ascii="Palatino Linotype" w:hAnsi="Palatino Linotype" w:cs="Arial"/>
          <w:sz w:val="20"/>
          <w:szCs w:val="20"/>
        </w:rPr>
        <w:t xml:space="preserve"> En lo referente a la fracción IX, del artículo 20 de la Ley,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lastRenderedPageBreak/>
        <w:t>Tratándose de los entes públicos a que se refiere el artículo 3 fracción V de la Ley, la información</w:t>
      </w:r>
      <w:r w:rsidR="00767D3F">
        <w:rPr>
          <w:rFonts w:ascii="Palatino Linotype" w:hAnsi="Palatino Linotype" w:cs="Arial"/>
          <w:sz w:val="20"/>
          <w:szCs w:val="20"/>
        </w:rPr>
        <w:t xml:space="preserve"> </w:t>
      </w:r>
      <w:r w:rsidRPr="00767D3F">
        <w:rPr>
          <w:rFonts w:ascii="Palatino Linotype" w:hAnsi="Palatino Linotype" w:cs="Arial"/>
          <w:sz w:val="20"/>
          <w:szCs w:val="20"/>
        </w:rPr>
        <w:t>relativa al presupuesto asignado en lo general y por programas, se deberá particularizar la parte que guarde relación con el ente público y por lo que toca a los informes sobre su ejecución, serán los Sujetos Obligados a quien corresponda de conformidad con sus leyes orgánicas, Código Municipal y demás legislación aplicable, quienes publiciten de oficio dicha información.</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w:t>
      </w:r>
      <w:r w:rsidRPr="00767D3F">
        <w:rPr>
          <w:rFonts w:ascii="Palatino Linotype" w:hAnsi="Palatino Linotype" w:cs="Arial"/>
          <w:sz w:val="20"/>
          <w:szCs w:val="20"/>
        </w:rPr>
        <w:t xml:space="preserve"> En lo referente a la fracción X, del artículo 20 de la Ley,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Deberán transparentar y hacer pública la información relativa a los ingresos recibidos por impuestos, derechos, contribuciones especiales, productos, aprovechamientos, aportaciones, participaciones y transferencias federales, o por cualquier otro concepto, en los términos de la legislación fiscal aplicable. En su caso, se indicará el nombre de los responsables de recibirlos, administrarlos y ejercerlos.</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XI.-</w:t>
      </w:r>
      <w:r w:rsidRPr="00767D3F">
        <w:rPr>
          <w:rFonts w:ascii="Palatino Linotype" w:hAnsi="Palatino Linotype" w:cs="Arial"/>
          <w:sz w:val="20"/>
          <w:szCs w:val="20"/>
        </w:rPr>
        <w:t xml:space="preserve"> En lo referente a la fracción XI, del artículo 20 de la Ley,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El órgano de control que corresponda deberá publicar lo siguiente:</w:t>
      </w:r>
    </w:p>
    <w:p w:rsidR="003D1DFE" w:rsidRPr="00767D3F" w:rsidRDefault="003D1DFE" w:rsidP="00767D3F">
      <w:pPr>
        <w:spacing w:after="0"/>
        <w:jc w:val="both"/>
        <w:rPr>
          <w:rFonts w:ascii="Palatino Linotype" w:hAnsi="Palatino Linotype" w:cs="Arial"/>
          <w:sz w:val="20"/>
          <w:szCs w:val="20"/>
        </w:rPr>
      </w:pPr>
      <w:r w:rsidRPr="00767D3F">
        <w:rPr>
          <w:rFonts w:ascii="Palatino Linotype" w:hAnsi="Palatino Linotype" w:cs="Arial"/>
          <w:sz w:val="20"/>
          <w:szCs w:val="20"/>
        </w:rPr>
        <w:t>a).- El alcance de la auditoría;</w:t>
      </w:r>
    </w:p>
    <w:p w:rsidR="003D1DFE" w:rsidRPr="00767D3F" w:rsidRDefault="003D1DFE" w:rsidP="00767D3F">
      <w:pPr>
        <w:spacing w:after="0"/>
        <w:jc w:val="both"/>
        <w:rPr>
          <w:rFonts w:ascii="Palatino Linotype" w:hAnsi="Palatino Linotype" w:cs="Arial"/>
          <w:sz w:val="20"/>
          <w:szCs w:val="20"/>
        </w:rPr>
      </w:pPr>
      <w:r w:rsidRPr="00767D3F">
        <w:rPr>
          <w:rFonts w:ascii="Palatino Linotype" w:hAnsi="Palatino Linotype" w:cs="Arial"/>
          <w:sz w:val="20"/>
          <w:szCs w:val="20"/>
        </w:rPr>
        <w:t>b).- Las acciones realizadas de verificación y fiscalización; y</w:t>
      </w:r>
    </w:p>
    <w:p w:rsidR="003D1DFE" w:rsidRDefault="003D1DFE" w:rsidP="00767D3F">
      <w:pPr>
        <w:spacing w:after="0"/>
        <w:jc w:val="both"/>
        <w:rPr>
          <w:rFonts w:ascii="Palatino Linotype" w:hAnsi="Palatino Linotype" w:cs="Arial"/>
          <w:sz w:val="20"/>
          <w:szCs w:val="20"/>
        </w:rPr>
      </w:pPr>
      <w:r w:rsidRPr="00767D3F">
        <w:rPr>
          <w:rFonts w:ascii="Palatino Linotype" w:hAnsi="Palatino Linotype" w:cs="Arial"/>
          <w:sz w:val="20"/>
          <w:szCs w:val="20"/>
        </w:rPr>
        <w:t>c).- El número de observaciones solventadas.</w:t>
      </w:r>
    </w:p>
    <w:p w:rsidR="00767D3F" w:rsidRPr="00767D3F" w:rsidRDefault="00767D3F" w:rsidP="00767D3F">
      <w:pPr>
        <w:spacing w:after="0"/>
        <w:jc w:val="both"/>
        <w:rPr>
          <w:rFonts w:ascii="Palatino Linotype" w:hAnsi="Palatino Linotype" w:cs="Arial"/>
          <w:sz w:val="20"/>
          <w:szCs w:val="20"/>
        </w:rPr>
      </w:pP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Los resultados de las auditorías, para efectos de su publicidad, no deberán contener información</w:t>
      </w:r>
      <w:r w:rsidR="00767D3F">
        <w:rPr>
          <w:rFonts w:ascii="Palatino Linotype" w:hAnsi="Palatino Linotype" w:cs="Arial"/>
          <w:sz w:val="20"/>
          <w:szCs w:val="20"/>
        </w:rPr>
        <w:t xml:space="preserve"> </w:t>
      </w:r>
      <w:r w:rsidRPr="00767D3F">
        <w:rPr>
          <w:rFonts w:ascii="Palatino Linotype" w:hAnsi="Palatino Linotype" w:cs="Arial"/>
          <w:sz w:val="20"/>
          <w:szCs w:val="20"/>
        </w:rPr>
        <w:t>que pueda causar perjuicio a las actividades de verificación del cumplimiento de las leyes, que se</w:t>
      </w:r>
      <w:r w:rsidR="00767D3F">
        <w:rPr>
          <w:rFonts w:ascii="Palatino Linotype" w:hAnsi="Palatino Linotype" w:cs="Arial"/>
          <w:sz w:val="20"/>
          <w:szCs w:val="20"/>
        </w:rPr>
        <w:t xml:space="preserve"> </w:t>
      </w:r>
      <w:r w:rsidRPr="00767D3F">
        <w:rPr>
          <w:rFonts w:ascii="Palatino Linotype" w:hAnsi="Palatino Linotype" w:cs="Arial"/>
          <w:sz w:val="20"/>
          <w:szCs w:val="20"/>
        </w:rPr>
        <w:t>relacionen con presuntas responsabilidades o de otra índole y, en general, aquella que tenga el</w:t>
      </w:r>
      <w:r w:rsidR="00767D3F">
        <w:rPr>
          <w:rFonts w:ascii="Palatino Linotype" w:hAnsi="Palatino Linotype" w:cs="Arial"/>
          <w:sz w:val="20"/>
          <w:szCs w:val="20"/>
        </w:rPr>
        <w:t xml:space="preserve"> </w:t>
      </w:r>
      <w:r w:rsidRPr="00767D3F">
        <w:rPr>
          <w:rFonts w:ascii="Palatino Linotype" w:hAnsi="Palatino Linotype" w:cs="Arial"/>
          <w:sz w:val="20"/>
          <w:szCs w:val="20"/>
        </w:rPr>
        <w:t>carácter de reservada o confidencial en los términos de la Ley y el presente Reglamento. Las observaciones de auditoría que puedan dar lugar a procedimientos administrativos o jurisdiccionales, serán hechas públicas una vez que los procedimientos sean resueltos de manera</w:t>
      </w:r>
      <w:r w:rsidR="00767D3F">
        <w:rPr>
          <w:rFonts w:ascii="Palatino Linotype" w:hAnsi="Palatino Linotype" w:cs="Arial"/>
          <w:sz w:val="20"/>
          <w:szCs w:val="20"/>
        </w:rPr>
        <w:t xml:space="preserve"> </w:t>
      </w:r>
      <w:r w:rsidRPr="00767D3F">
        <w:rPr>
          <w:rFonts w:ascii="Palatino Linotype" w:hAnsi="Palatino Linotype" w:cs="Arial"/>
          <w:sz w:val="20"/>
          <w:szCs w:val="20"/>
        </w:rPr>
        <w:t>definitiva y las resoluciones correspondientes hayan causado estado.</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XII.-</w:t>
      </w:r>
      <w:r w:rsidRPr="00767D3F">
        <w:rPr>
          <w:rFonts w:ascii="Palatino Linotype" w:hAnsi="Palatino Linotype" w:cs="Arial"/>
          <w:sz w:val="20"/>
          <w:szCs w:val="20"/>
        </w:rPr>
        <w:t xml:space="preserve"> En lo referente a la fracción XII, del artículo 20 de la Ley,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El diseño, ejecución, montos asignados y criterios de acceso a los programas de subsidio, así como</w:t>
      </w:r>
      <w:r w:rsidR="00767D3F">
        <w:rPr>
          <w:rFonts w:ascii="Palatino Linotype" w:hAnsi="Palatino Linotype" w:cs="Arial"/>
          <w:sz w:val="20"/>
          <w:szCs w:val="20"/>
        </w:rPr>
        <w:t xml:space="preserve"> </w:t>
      </w:r>
      <w:r w:rsidRPr="00767D3F">
        <w:rPr>
          <w:rFonts w:ascii="Palatino Linotype" w:hAnsi="Palatino Linotype" w:cs="Arial"/>
          <w:sz w:val="20"/>
          <w:szCs w:val="20"/>
        </w:rPr>
        <w:t>los padrones de las y los beneficiarios de los programas sociales, comprendiendo:</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a) El nombre o denominación del programa;</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b) La unidad administrativa que lo otorgue o administre;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c) Los montos asignados al programa;</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d) Diagnóstico y justificación;</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e) Objetivos, metas, cobertura y población beneficiaria; y,</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f) Los resultados periódicos o informes sobre el desarrollo de los programas.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lastRenderedPageBreak/>
        <w:t>XIII.-</w:t>
      </w:r>
      <w:r w:rsidRPr="00767D3F">
        <w:rPr>
          <w:rFonts w:ascii="Palatino Linotype" w:hAnsi="Palatino Linotype" w:cs="Arial"/>
          <w:color w:val="000000"/>
          <w:sz w:val="20"/>
          <w:szCs w:val="20"/>
        </w:rPr>
        <w:t xml:space="preserve"> En lo referente a la fracción XIII, del artículo 20 de la Ley, se estará a lo siguiente:</w:t>
      </w:r>
    </w:p>
    <w:p w:rsidR="003D1DFE" w:rsidRPr="00767D3F" w:rsidRDefault="003D1DFE" w:rsidP="00767D3F">
      <w:pPr>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En lo relativo a gastos de comunicación social, se deberá indicar lo siguiente:</w:t>
      </w:r>
    </w:p>
    <w:p w:rsidR="003D1DFE" w:rsidRPr="00767D3F" w:rsidRDefault="003D1DFE" w:rsidP="00767D3F">
      <w:pPr>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a) El monto del presupuesto destinado;</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b) Nombre de la campaña o programa de difusión; y</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c) El período de difusión de la información;</w:t>
      </w:r>
    </w:p>
    <w:p w:rsidR="003D1DFE" w:rsidRPr="00767D3F" w:rsidRDefault="003D1DFE" w:rsidP="00767D3F">
      <w:pPr>
        <w:jc w:val="both"/>
        <w:rPr>
          <w:rFonts w:ascii="Palatino Linotype" w:hAnsi="Palatino Linotype" w:cs="Arial"/>
          <w:sz w:val="20"/>
          <w:szCs w:val="20"/>
        </w:rPr>
      </w:pP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XIV.-</w:t>
      </w:r>
      <w:r w:rsidRPr="00767D3F">
        <w:rPr>
          <w:rFonts w:ascii="Palatino Linotype" w:hAnsi="Palatino Linotype" w:cs="Arial"/>
          <w:sz w:val="20"/>
          <w:szCs w:val="20"/>
        </w:rPr>
        <w:t xml:space="preserve"> En lo referente a la fracción XIV, del artículo 20 de la Ley, deberán difundirse los procedimientos</w:t>
      </w:r>
      <w:r w:rsidR="00767D3F">
        <w:rPr>
          <w:rFonts w:ascii="Palatino Linotype" w:hAnsi="Palatino Linotype" w:cs="Arial"/>
          <w:sz w:val="20"/>
          <w:szCs w:val="20"/>
        </w:rPr>
        <w:t xml:space="preserve"> </w:t>
      </w:r>
      <w:r w:rsidRPr="00767D3F">
        <w:rPr>
          <w:rFonts w:ascii="Palatino Linotype" w:hAnsi="Palatino Linotype" w:cs="Arial"/>
          <w:sz w:val="20"/>
          <w:szCs w:val="20"/>
        </w:rPr>
        <w:t>de licitación de cualquier naturaleza una vez concluidos, exceptuando aquellos casos en que se clasifiquen como reservados o confidenciales.</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XV.-</w:t>
      </w:r>
      <w:r w:rsidRPr="00767D3F">
        <w:rPr>
          <w:rFonts w:ascii="Palatino Linotype" w:hAnsi="Palatino Linotype" w:cs="Arial"/>
          <w:sz w:val="20"/>
          <w:szCs w:val="20"/>
        </w:rPr>
        <w:t xml:space="preserve"> En lo referente a la fracción XV, del artículo 20 de la Ley,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Los entes públicos deberán difundir la información relativa a permisos, licencias, concesiones y</w:t>
      </w:r>
      <w:r w:rsidR="00767D3F">
        <w:rPr>
          <w:rFonts w:ascii="Palatino Linotype" w:hAnsi="Palatino Linotype" w:cs="Arial"/>
          <w:sz w:val="20"/>
          <w:szCs w:val="20"/>
        </w:rPr>
        <w:t xml:space="preserve"> </w:t>
      </w:r>
      <w:r w:rsidRPr="00767D3F">
        <w:rPr>
          <w:rFonts w:ascii="Palatino Linotype" w:hAnsi="Palatino Linotype" w:cs="Arial"/>
          <w:sz w:val="20"/>
          <w:szCs w:val="20"/>
        </w:rPr>
        <w:t>autorizaciones otorgadas. Dicha información deberá contener:</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a) La unidad administrativa ante quien se realiza el trámite;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b) El nombre de la persona física o la razón social de la persona moral, permisionaria</w:t>
      </w:r>
      <w:r w:rsidR="00767D3F">
        <w:rPr>
          <w:rFonts w:ascii="Palatino Linotype" w:hAnsi="Palatino Linotype" w:cs="Arial"/>
          <w:sz w:val="20"/>
          <w:szCs w:val="20"/>
        </w:rPr>
        <w:t xml:space="preserve"> </w:t>
      </w:r>
      <w:r w:rsidRPr="00767D3F">
        <w:rPr>
          <w:rFonts w:ascii="Palatino Linotype" w:hAnsi="Palatino Linotype" w:cs="Arial"/>
          <w:sz w:val="20"/>
          <w:szCs w:val="20"/>
        </w:rPr>
        <w:t>concesionaria o autorizada, así como de su representante legal, o la denominación del</w:t>
      </w:r>
      <w:r w:rsidR="00767D3F">
        <w:rPr>
          <w:rFonts w:ascii="Palatino Linotype" w:hAnsi="Palatino Linotype" w:cs="Arial"/>
          <w:sz w:val="20"/>
          <w:szCs w:val="20"/>
        </w:rPr>
        <w:t xml:space="preserve"> </w:t>
      </w:r>
      <w:r w:rsidRPr="00767D3F">
        <w:rPr>
          <w:rFonts w:ascii="Palatino Linotype" w:hAnsi="Palatino Linotype" w:cs="Arial"/>
          <w:sz w:val="20"/>
          <w:szCs w:val="20"/>
        </w:rPr>
        <w:t>establecimiento comercial o identificación del servicio;</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 xml:space="preserve">c) El concepto y vigencia del permiso, licencia, concesión o autorización; y, </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d) Las opiniones y argumentos incluidos en los expedientes y los documentos que reflejen los</w:t>
      </w:r>
      <w:r w:rsidR="00767D3F">
        <w:rPr>
          <w:rFonts w:ascii="Palatino Linotype" w:hAnsi="Palatino Linotype" w:cs="Arial"/>
          <w:sz w:val="20"/>
          <w:szCs w:val="20"/>
        </w:rPr>
        <w:t xml:space="preserve"> </w:t>
      </w:r>
      <w:r w:rsidRPr="00767D3F">
        <w:rPr>
          <w:rFonts w:ascii="Palatino Linotype" w:hAnsi="Palatino Linotype" w:cs="Arial"/>
          <w:sz w:val="20"/>
          <w:szCs w:val="20"/>
        </w:rPr>
        <w:t>resultados de los procedimientos administrativos aludidos.</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XVI.-</w:t>
      </w:r>
      <w:r w:rsidRPr="00767D3F">
        <w:rPr>
          <w:rFonts w:ascii="Palatino Linotype" w:hAnsi="Palatino Linotype" w:cs="Arial"/>
          <w:sz w:val="20"/>
          <w:szCs w:val="20"/>
        </w:rPr>
        <w:t xml:space="preserve"> En lo referente a la fracción XVI, del artículo 20 de la Ley,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El padrón de proveedores en términos de la Ley de Adquisiciones, Arrendamientos, Contratación de Servicios y Obra Pública del Estado de Chihuahua, así como el padrón de contratistas de conformidad con la Ley de Obra Pública y Servicios Relacionados con la misma del Estado de Chihuahua, excepto los datos clasificados como reservados o confidenciales.</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XVII.-</w:t>
      </w:r>
      <w:r w:rsidRPr="00767D3F">
        <w:rPr>
          <w:rFonts w:ascii="Palatino Linotype" w:hAnsi="Palatino Linotype" w:cs="Arial"/>
          <w:sz w:val="20"/>
          <w:szCs w:val="20"/>
        </w:rPr>
        <w:t xml:space="preserve"> En lo referente a la fracción XVII, del artículo 20 de la Ley, relativa a los informes que por disposición legal se generen,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Los informes que por disposición constitucional o legal se generen y que deban ser rendidos ante</w:t>
      </w:r>
      <w:r w:rsidR="00767D3F">
        <w:rPr>
          <w:rFonts w:ascii="Palatino Linotype" w:hAnsi="Palatino Linotype" w:cs="Arial"/>
          <w:sz w:val="20"/>
          <w:szCs w:val="20"/>
        </w:rPr>
        <w:t xml:space="preserve"> </w:t>
      </w:r>
      <w:r w:rsidRPr="00767D3F">
        <w:rPr>
          <w:rFonts w:ascii="Palatino Linotype" w:hAnsi="Palatino Linotype" w:cs="Arial"/>
          <w:sz w:val="20"/>
          <w:szCs w:val="20"/>
        </w:rPr>
        <w:t>órganos de naturaleza colegiada.</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XVIII.-</w:t>
      </w:r>
      <w:r w:rsidRPr="00767D3F">
        <w:rPr>
          <w:rFonts w:ascii="Palatino Linotype" w:hAnsi="Palatino Linotype" w:cs="Arial"/>
          <w:color w:val="000000"/>
          <w:sz w:val="20"/>
          <w:szCs w:val="20"/>
        </w:rPr>
        <w:t xml:space="preserve"> En lo referente a la fracción XVIII, del artículo 20 de la Ley, se estará a lo siguiente:</w:t>
      </w:r>
    </w:p>
    <w:p w:rsidR="00767D3F" w:rsidRDefault="00767D3F"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Los mecanismos de participación ciudadana que involucren a la sociedad civil en la toma de</w:t>
      </w:r>
      <w:r w:rsidR="00767D3F">
        <w:rPr>
          <w:rFonts w:ascii="Palatino Linotype" w:hAnsi="Palatino Linotype" w:cs="Arial"/>
          <w:color w:val="000000"/>
          <w:sz w:val="20"/>
          <w:szCs w:val="20"/>
        </w:rPr>
        <w:t xml:space="preserve"> </w:t>
      </w:r>
      <w:r w:rsidRPr="00767D3F">
        <w:rPr>
          <w:rFonts w:ascii="Palatino Linotype" w:hAnsi="Palatino Linotype" w:cs="Arial"/>
          <w:color w:val="000000"/>
          <w:sz w:val="20"/>
          <w:szCs w:val="20"/>
        </w:rPr>
        <w:t>decisiones que incidan en las políticas públicas.</w:t>
      </w:r>
    </w:p>
    <w:p w:rsidR="00767D3F" w:rsidRDefault="00767D3F"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XIX.-</w:t>
      </w:r>
      <w:r w:rsidRPr="00767D3F">
        <w:rPr>
          <w:rFonts w:ascii="Palatino Linotype" w:hAnsi="Palatino Linotype" w:cs="Arial"/>
          <w:color w:val="000000"/>
          <w:sz w:val="20"/>
          <w:szCs w:val="20"/>
        </w:rPr>
        <w:t xml:space="preserve"> En lo referente a la fracción XIX, del artículo 20 de la Ley, se estará a lo siguiente:</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El estado financiero de los entes públicos que muestre su situación patrimonial, contenido en su</w:t>
      </w:r>
      <w:r w:rsidR="00767D3F">
        <w:rPr>
          <w:rFonts w:ascii="Palatino Linotype" w:hAnsi="Palatino Linotype" w:cs="Arial"/>
          <w:sz w:val="20"/>
          <w:szCs w:val="20"/>
        </w:rPr>
        <w:t xml:space="preserve"> </w:t>
      </w:r>
      <w:r w:rsidRPr="00767D3F">
        <w:rPr>
          <w:rFonts w:ascii="Palatino Linotype" w:hAnsi="Palatino Linotype" w:cs="Arial"/>
          <w:sz w:val="20"/>
          <w:szCs w:val="20"/>
        </w:rPr>
        <w:t>Balance General, el Estado de Resultados y el Estado de la Deuda Pública, así como la relación de</w:t>
      </w:r>
      <w:r w:rsidR="00767D3F">
        <w:rPr>
          <w:rFonts w:ascii="Palatino Linotype" w:hAnsi="Palatino Linotype" w:cs="Arial"/>
          <w:sz w:val="20"/>
          <w:szCs w:val="20"/>
        </w:rPr>
        <w:t xml:space="preserve"> </w:t>
      </w:r>
      <w:r w:rsidRPr="00767D3F">
        <w:rPr>
          <w:rFonts w:ascii="Palatino Linotype" w:hAnsi="Palatino Linotype" w:cs="Arial"/>
          <w:sz w:val="20"/>
          <w:szCs w:val="20"/>
        </w:rPr>
        <w:t>los bienes inmuebles y de los vehículos adscritos a los entes públicos.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XX.-</w:t>
      </w:r>
      <w:r w:rsidRPr="00767D3F">
        <w:rPr>
          <w:rFonts w:ascii="Palatino Linotype" w:hAnsi="Palatino Linotype" w:cs="Arial"/>
          <w:color w:val="000000"/>
          <w:sz w:val="20"/>
          <w:szCs w:val="20"/>
        </w:rPr>
        <w:t xml:space="preserve"> En lo referente a la fracción XX,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Los montos, criterios, convocatorias, así como los informes que se generen sobre el uso y destino de recursos públicos que se entreguen a las personas por cualquier motivo. Dicha información deberá contener además:</w:t>
      </w:r>
    </w:p>
    <w:p w:rsidR="003D1DFE" w:rsidRPr="00767D3F" w:rsidRDefault="003D1DFE" w:rsidP="00767D3F">
      <w:pPr>
        <w:jc w:val="both"/>
        <w:rPr>
          <w:rFonts w:ascii="Palatino Linotype" w:hAnsi="Palatino Linotype" w:cs="Arial"/>
          <w:sz w:val="20"/>
          <w:szCs w:val="20"/>
        </w:rPr>
      </w:pPr>
    </w:p>
    <w:p w:rsidR="003D1DFE" w:rsidRPr="00767D3F" w:rsidRDefault="003D1DFE" w:rsidP="00767D3F">
      <w:pPr>
        <w:pStyle w:val="Prrafodelista"/>
        <w:widowControl w:val="0"/>
        <w:numPr>
          <w:ilvl w:val="0"/>
          <w:numId w:val="1"/>
        </w:numPr>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El nombre o denominación del programa con cargo al cual se otorgan;</w:t>
      </w:r>
    </w:p>
    <w:p w:rsidR="003D1DFE" w:rsidRPr="00767D3F" w:rsidRDefault="003D1DFE" w:rsidP="00767D3F">
      <w:pPr>
        <w:pStyle w:val="Prrafodelista"/>
        <w:widowControl w:val="0"/>
        <w:numPr>
          <w:ilvl w:val="0"/>
          <w:numId w:val="1"/>
        </w:numPr>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La unidad administrativa que los otorgue o administre;</w:t>
      </w:r>
    </w:p>
    <w:p w:rsidR="003D1DFE" w:rsidRPr="00767D3F" w:rsidRDefault="003D1DFE" w:rsidP="00767D3F">
      <w:pPr>
        <w:pStyle w:val="Prrafodelista"/>
        <w:widowControl w:val="0"/>
        <w:numPr>
          <w:ilvl w:val="0"/>
          <w:numId w:val="1"/>
        </w:numPr>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La población beneficiaria.</w:t>
      </w:r>
    </w:p>
    <w:p w:rsidR="003D1DFE" w:rsidRPr="00767D3F" w:rsidRDefault="003D1DFE" w:rsidP="00767D3F">
      <w:pPr>
        <w:pStyle w:val="Prrafodelista"/>
        <w:widowControl w:val="0"/>
        <w:numPr>
          <w:ilvl w:val="0"/>
          <w:numId w:val="1"/>
        </w:numPr>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El período por el cual se otorgaron.</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XXI.-</w:t>
      </w:r>
      <w:r w:rsidRPr="00767D3F">
        <w:rPr>
          <w:rFonts w:ascii="Palatino Linotype" w:hAnsi="Palatino Linotype" w:cs="Arial"/>
          <w:color w:val="000000"/>
          <w:sz w:val="20"/>
          <w:szCs w:val="20"/>
        </w:rPr>
        <w:t xml:space="preserve"> En lo referente a la fracción XXI,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Las sentencias ejecutoriadas que recaigan con motivo de las controversias entre poderes públicos, sean dictadas por el pleno del Supremo Tribunal de Justicia del Estado o Suprema Corte de Justicia de la Nación.</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XXII.-</w:t>
      </w:r>
      <w:r w:rsidRPr="00767D3F">
        <w:rPr>
          <w:rFonts w:ascii="Palatino Linotype" w:hAnsi="Palatino Linotype" w:cs="Arial"/>
          <w:color w:val="000000"/>
          <w:sz w:val="20"/>
          <w:szCs w:val="20"/>
        </w:rPr>
        <w:t xml:space="preserve"> En lo referente a las fracciones XXII y XXIII,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Los convenios que se celebren con entes públicos de la federación, estados y municipios, así como con organizaciones no gubernamentales, sindicatos, partidos políticos, agrupaciones políticas, instituciones de enseñanza privada y fundaciones del Estado, de otro Estado, de la Federación o de otro País.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r w:rsidRPr="00767D3F">
        <w:rPr>
          <w:rFonts w:ascii="Palatino Linotype" w:hAnsi="Palatino Linotype" w:cs="Arial"/>
          <w:color w:val="000000"/>
          <w:sz w:val="20"/>
          <w:szCs w:val="20"/>
        </w:rPr>
        <w:t>Para tal efecto deberá señalarse por lo menos: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a) Denominación del convenio;</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b) Las partes que lo celebran;</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c) Su objeto; y</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color w:val="000000"/>
          <w:sz w:val="20"/>
          <w:szCs w:val="20"/>
        </w:rPr>
        <w:t>d) Periodo de vigencia.</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XXIII.-</w:t>
      </w:r>
      <w:r w:rsidRPr="00767D3F">
        <w:rPr>
          <w:rFonts w:ascii="Palatino Linotype" w:hAnsi="Palatino Linotype" w:cs="Arial"/>
          <w:color w:val="000000"/>
          <w:sz w:val="20"/>
          <w:szCs w:val="20"/>
        </w:rPr>
        <w:t xml:space="preserve"> En lo referente a la fracción XXIV,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r w:rsidRPr="00767D3F">
        <w:rPr>
          <w:rFonts w:ascii="Palatino Linotype" w:hAnsi="Palatino Linotype" w:cs="Arial"/>
          <w:color w:val="000000"/>
          <w:sz w:val="20"/>
          <w:szCs w:val="20"/>
        </w:rPr>
        <w:t>Deberán difundirse con la debida anticipación el lugar, fecha y hora, en que sus órganos colegiados celebren reuniones que conforme a su normatividad sean de naturaleza pública, así como publicitar las minutas o actas resultado de las mismas, excepto la información clasificada.</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sz w:val="20"/>
          <w:szCs w:val="20"/>
        </w:rPr>
        <w:t>XXIV.-</w:t>
      </w:r>
      <w:r w:rsidRPr="00767D3F">
        <w:rPr>
          <w:rFonts w:ascii="Palatino Linotype" w:hAnsi="Palatino Linotype" w:cs="Arial"/>
          <w:sz w:val="20"/>
          <w:szCs w:val="20"/>
        </w:rPr>
        <w:t xml:space="preserve"> De conformidad con la fracción XXV, del artículo 20 de la Ley, deberán difundir la versión pública de los contratos, convenios y condiciones generales de trabajo que regulen las relaciones laborales del personal sindicalizado y de confianza, que se encuentre adscrito a los entes públicos, así como la relación del personal sindicalizado, los montos que por concepto de cuotas sindicales, prestaciones económicas o en especie se entreguen a los sindicatos, los nombres de quienes los </w:t>
      </w:r>
      <w:r w:rsidRPr="00767D3F">
        <w:rPr>
          <w:rFonts w:ascii="Palatino Linotype" w:hAnsi="Palatino Linotype" w:cs="Arial"/>
          <w:sz w:val="20"/>
          <w:szCs w:val="20"/>
        </w:rPr>
        <w:lastRenderedPageBreak/>
        <w:t>reciben y de los responsables de ejercerlos.</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sz w:val="20"/>
          <w:szCs w:val="20"/>
        </w:rPr>
        <w:t>XXV.-</w:t>
      </w:r>
      <w:r w:rsidRPr="00767D3F">
        <w:rPr>
          <w:rFonts w:ascii="Palatino Linotype" w:hAnsi="Palatino Linotype" w:cs="Arial"/>
          <w:sz w:val="20"/>
          <w:szCs w:val="20"/>
        </w:rPr>
        <w:t xml:space="preserve"> En lo referente a la fracción XXVI, del artículo 20 de la Ley, se estará a lo siguiente:</w:t>
      </w: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3D1DFE" w:rsidRPr="00767D3F" w:rsidRDefault="003D1DFE"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767D3F">
        <w:rPr>
          <w:rFonts w:ascii="Palatino Linotype" w:hAnsi="Palatino Linotype" w:cs="Arial"/>
          <w:sz w:val="20"/>
          <w:szCs w:val="20"/>
        </w:rPr>
        <w:t>Se deberán transparentar y difundir los informes, estudios, análisis y reportes generados por</w:t>
      </w:r>
      <w:r w:rsidR="00767D3F">
        <w:rPr>
          <w:rFonts w:ascii="Palatino Linotype" w:hAnsi="Palatino Linotype" w:cs="Arial"/>
          <w:sz w:val="20"/>
          <w:szCs w:val="20"/>
        </w:rPr>
        <w:t xml:space="preserve"> </w:t>
      </w:r>
      <w:r w:rsidRPr="00767D3F">
        <w:rPr>
          <w:rFonts w:ascii="Palatino Linotype" w:hAnsi="Palatino Linotype" w:cs="Arial"/>
          <w:sz w:val="20"/>
          <w:szCs w:val="20"/>
        </w:rPr>
        <w:t>despachos de consultoría privada contratados por los entes públicos, los que contendrán a su vez, la siguiente información:</w:t>
      </w:r>
    </w:p>
    <w:p w:rsidR="003D1DFE" w:rsidRPr="00767D3F" w:rsidRDefault="003D1DFE" w:rsidP="00767D3F">
      <w:pPr>
        <w:jc w:val="both"/>
        <w:rPr>
          <w:rFonts w:ascii="Palatino Linotype" w:hAnsi="Palatino Linotype" w:cs="Arial"/>
          <w:sz w:val="20"/>
          <w:szCs w:val="20"/>
        </w:rPr>
      </w:pP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a) Objeto o denominación del programa; y,</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b) Los nombres de las personas físicas o morales contratadas;</w:t>
      </w:r>
    </w:p>
    <w:p w:rsidR="003D1DFE" w:rsidRPr="00767D3F" w:rsidRDefault="003D1DFE" w:rsidP="00767D3F">
      <w:pPr>
        <w:jc w:val="both"/>
        <w:rPr>
          <w:rFonts w:ascii="Palatino Linotype" w:hAnsi="Palatino Linotype" w:cs="Arial"/>
          <w:sz w:val="20"/>
          <w:szCs w:val="20"/>
        </w:rPr>
      </w:pPr>
      <w:r w:rsidRPr="00C910B0">
        <w:rPr>
          <w:rFonts w:ascii="Palatino Linotype" w:hAnsi="Palatino Linotype" w:cs="Arial"/>
          <w:b/>
          <w:sz w:val="20"/>
          <w:szCs w:val="20"/>
        </w:rPr>
        <w:t>XXVI.-</w:t>
      </w:r>
      <w:r w:rsidRPr="00767D3F">
        <w:rPr>
          <w:rFonts w:ascii="Palatino Linotype" w:hAnsi="Palatino Linotype" w:cs="Arial"/>
          <w:sz w:val="20"/>
          <w:szCs w:val="20"/>
        </w:rPr>
        <w:t xml:space="preserve"> De conformidad con la fracción XXVII, del artículo 20 de la Ley, se deberán difundir los informes de los resultados obtenidos en las giras de trabajo que se realicen fuera del territorio del Estado, en los que se comprenda lo relativo a:</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a) Nombre del evento o tipo de reunión efectuada;</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b) Objetivo de la Comisión o gira de trabajo; y</w:t>
      </w:r>
    </w:p>
    <w:p w:rsidR="003D1DFE" w:rsidRPr="00767D3F" w:rsidRDefault="003D1DFE" w:rsidP="00767D3F">
      <w:pPr>
        <w:jc w:val="both"/>
        <w:rPr>
          <w:rFonts w:ascii="Palatino Linotype" w:hAnsi="Palatino Linotype" w:cs="Arial"/>
          <w:sz w:val="20"/>
          <w:szCs w:val="20"/>
        </w:rPr>
      </w:pPr>
      <w:r w:rsidRPr="00767D3F">
        <w:rPr>
          <w:rFonts w:ascii="Palatino Linotype" w:hAnsi="Palatino Linotype" w:cs="Arial"/>
          <w:sz w:val="20"/>
          <w:szCs w:val="20"/>
        </w:rPr>
        <w:t>c) Las conclusiones o acuerdos tomados, en su caso.</w:t>
      </w:r>
    </w:p>
    <w:p w:rsidR="00A62AFB" w:rsidRPr="00767D3F" w:rsidRDefault="00A62AFB" w:rsidP="00767D3F">
      <w:pPr>
        <w:jc w:val="both"/>
        <w:rPr>
          <w:rFonts w:ascii="Palatino Linotype" w:hAnsi="Palatino Linotype" w:cs="Arial"/>
          <w:sz w:val="20"/>
          <w:szCs w:val="20"/>
        </w:rPr>
      </w:pPr>
    </w:p>
    <w:p w:rsidR="00A62AFB" w:rsidRPr="00767D3F" w:rsidRDefault="00A62AFB" w:rsidP="00767D3F">
      <w:pPr>
        <w:widowControl w:val="0"/>
        <w:autoSpaceDE w:val="0"/>
        <w:autoSpaceDN w:val="0"/>
        <w:adjustRightInd w:val="0"/>
        <w:snapToGrid w:val="0"/>
        <w:spacing w:after="0" w:line="240" w:lineRule="auto"/>
        <w:jc w:val="both"/>
        <w:rPr>
          <w:rFonts w:ascii="Palatino Linotype" w:hAnsi="Palatino Linotype" w:cs="Arial"/>
          <w:sz w:val="20"/>
          <w:szCs w:val="20"/>
        </w:rPr>
      </w:pPr>
      <w:r w:rsidRPr="00C910B0">
        <w:rPr>
          <w:rFonts w:ascii="Palatino Linotype" w:hAnsi="Palatino Linotype" w:cs="Arial"/>
          <w:b/>
          <w:color w:val="000000"/>
          <w:sz w:val="20"/>
          <w:szCs w:val="20"/>
        </w:rPr>
        <w:t>XXVII.-</w:t>
      </w:r>
      <w:r w:rsidRPr="00767D3F">
        <w:rPr>
          <w:rFonts w:ascii="Palatino Linotype" w:hAnsi="Palatino Linotype" w:cs="Arial"/>
          <w:color w:val="000000"/>
          <w:sz w:val="20"/>
          <w:szCs w:val="20"/>
        </w:rPr>
        <w:t xml:space="preserve"> En los términos de la fracción XXVIII, del artículo 20 de la Ley, se deberá difundir cualquier otra información estadística que resulte relevante para responder a las preguntas hechas con más frecuencia.</w:t>
      </w:r>
    </w:p>
    <w:p w:rsidR="00767D3F" w:rsidRDefault="00767D3F"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p>
    <w:p w:rsidR="00A62AFB" w:rsidRDefault="00A62AFB" w:rsidP="00767D3F">
      <w:pPr>
        <w:widowControl w:val="0"/>
        <w:autoSpaceDE w:val="0"/>
        <w:autoSpaceDN w:val="0"/>
        <w:adjustRightInd w:val="0"/>
        <w:snapToGrid w:val="0"/>
        <w:spacing w:after="0" w:line="240" w:lineRule="auto"/>
        <w:jc w:val="both"/>
        <w:rPr>
          <w:rFonts w:ascii="Palatino Linotype" w:hAnsi="Palatino Linotype" w:cs="Arial"/>
          <w:color w:val="000000"/>
          <w:sz w:val="20"/>
          <w:szCs w:val="20"/>
        </w:rPr>
      </w:pPr>
      <w:r w:rsidRPr="00767D3F">
        <w:rPr>
          <w:rFonts w:ascii="Palatino Linotype" w:hAnsi="Palatino Linotype" w:cs="Arial"/>
          <w:color w:val="000000"/>
          <w:sz w:val="20"/>
          <w:szCs w:val="20"/>
        </w:rPr>
        <w:t>Asimismo, deberá comprenderse un informe de acceso a la información trimestral, que contenga cuando menos:</w:t>
      </w:r>
    </w:p>
    <w:p w:rsidR="00767D3F" w:rsidRPr="00767D3F" w:rsidRDefault="00767D3F" w:rsidP="00767D3F">
      <w:pPr>
        <w:widowControl w:val="0"/>
        <w:autoSpaceDE w:val="0"/>
        <w:autoSpaceDN w:val="0"/>
        <w:adjustRightInd w:val="0"/>
        <w:snapToGrid w:val="0"/>
        <w:spacing w:after="0" w:line="240" w:lineRule="auto"/>
        <w:jc w:val="both"/>
        <w:rPr>
          <w:rFonts w:ascii="Palatino Linotype" w:hAnsi="Palatino Linotype" w:cs="Arial"/>
          <w:sz w:val="20"/>
          <w:szCs w:val="20"/>
        </w:rPr>
      </w:pPr>
    </w:p>
    <w:p w:rsidR="00A62AFB" w:rsidRPr="00767D3F" w:rsidRDefault="00A62AFB" w:rsidP="00767D3F">
      <w:pPr>
        <w:pStyle w:val="Prrafodelista"/>
        <w:numPr>
          <w:ilvl w:val="0"/>
          <w:numId w:val="2"/>
        </w:numPr>
        <w:jc w:val="both"/>
        <w:rPr>
          <w:rFonts w:ascii="Palatino Linotype" w:hAnsi="Palatino Linotype" w:cs="Arial"/>
          <w:sz w:val="20"/>
          <w:szCs w:val="20"/>
        </w:rPr>
      </w:pPr>
      <w:r w:rsidRPr="00767D3F">
        <w:rPr>
          <w:rFonts w:ascii="Palatino Linotype" w:hAnsi="Palatino Linotype" w:cs="Arial"/>
          <w:sz w:val="20"/>
          <w:szCs w:val="20"/>
        </w:rPr>
        <w:t>Número de solicitudes de información que le han sido presentadas;</w:t>
      </w:r>
    </w:p>
    <w:p w:rsidR="00A62AFB" w:rsidRPr="00767D3F" w:rsidRDefault="00A62AFB" w:rsidP="00767D3F">
      <w:pPr>
        <w:pStyle w:val="Prrafodelista"/>
        <w:numPr>
          <w:ilvl w:val="0"/>
          <w:numId w:val="2"/>
        </w:numPr>
        <w:jc w:val="both"/>
        <w:rPr>
          <w:rFonts w:ascii="Palatino Linotype" w:hAnsi="Palatino Linotype" w:cs="Arial"/>
          <w:sz w:val="20"/>
          <w:szCs w:val="20"/>
        </w:rPr>
      </w:pPr>
      <w:r w:rsidRPr="00767D3F">
        <w:rPr>
          <w:rFonts w:ascii="Palatino Linotype" w:hAnsi="Palatino Linotype" w:cs="Arial"/>
          <w:sz w:val="20"/>
          <w:szCs w:val="20"/>
        </w:rPr>
        <w:t>Información más solicitada;</w:t>
      </w:r>
    </w:p>
    <w:p w:rsidR="00A62AFB" w:rsidRPr="00767D3F" w:rsidRDefault="00A62AFB" w:rsidP="00767D3F">
      <w:pPr>
        <w:pStyle w:val="Prrafodelista"/>
        <w:numPr>
          <w:ilvl w:val="0"/>
          <w:numId w:val="2"/>
        </w:numPr>
        <w:jc w:val="both"/>
        <w:rPr>
          <w:rFonts w:ascii="Palatino Linotype" w:hAnsi="Palatino Linotype" w:cs="Arial"/>
          <w:sz w:val="20"/>
          <w:szCs w:val="20"/>
        </w:rPr>
      </w:pPr>
      <w:r w:rsidRPr="00767D3F">
        <w:rPr>
          <w:rFonts w:ascii="Palatino Linotype" w:hAnsi="Palatino Linotype" w:cs="Arial"/>
          <w:sz w:val="20"/>
          <w:szCs w:val="20"/>
        </w:rPr>
        <w:t>Número de solicitudes resueltas, así como el número de aquellas que se encuentren pendientes;</w:t>
      </w:r>
    </w:p>
    <w:p w:rsidR="00A62AFB" w:rsidRPr="00767D3F" w:rsidRDefault="00A62AFB" w:rsidP="00767D3F">
      <w:pPr>
        <w:pStyle w:val="Prrafodelista"/>
        <w:numPr>
          <w:ilvl w:val="0"/>
          <w:numId w:val="2"/>
        </w:numPr>
        <w:jc w:val="both"/>
        <w:rPr>
          <w:rFonts w:ascii="Palatino Linotype" w:hAnsi="Palatino Linotype" w:cs="Arial"/>
          <w:sz w:val="20"/>
          <w:szCs w:val="20"/>
        </w:rPr>
      </w:pPr>
      <w:r w:rsidRPr="00767D3F">
        <w:rPr>
          <w:rFonts w:ascii="Palatino Linotype" w:hAnsi="Palatino Linotype" w:cs="Arial"/>
          <w:sz w:val="20"/>
          <w:szCs w:val="20"/>
        </w:rPr>
        <w:t>Número de solicitudes rechazadas; y</w:t>
      </w:r>
    </w:p>
    <w:p w:rsidR="00A62AFB" w:rsidRPr="00767D3F" w:rsidRDefault="00A62AFB" w:rsidP="00767D3F">
      <w:pPr>
        <w:pStyle w:val="Prrafodelista"/>
        <w:numPr>
          <w:ilvl w:val="0"/>
          <w:numId w:val="2"/>
        </w:numPr>
        <w:jc w:val="both"/>
        <w:rPr>
          <w:rFonts w:ascii="Palatino Linotype" w:hAnsi="Palatino Linotype" w:cs="Arial"/>
          <w:sz w:val="20"/>
          <w:szCs w:val="20"/>
        </w:rPr>
      </w:pPr>
      <w:r w:rsidRPr="00767D3F">
        <w:rPr>
          <w:rFonts w:ascii="Palatino Linotype" w:hAnsi="Palatino Linotype" w:cs="Arial"/>
          <w:sz w:val="20"/>
          <w:szCs w:val="20"/>
        </w:rPr>
        <w:t>Número de solicitudes de aclaración recibidas y resueltas.</w:t>
      </w:r>
    </w:p>
    <w:sectPr w:rsidR="00A62AFB" w:rsidRPr="00767D3F" w:rsidSect="00F544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605"/>
    <w:multiLevelType w:val="hybridMultilevel"/>
    <w:tmpl w:val="F8081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014DD6"/>
    <w:multiLevelType w:val="hybridMultilevel"/>
    <w:tmpl w:val="88A20E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D1DFE"/>
    <w:rsid w:val="00023603"/>
    <w:rsid w:val="003D1DFE"/>
    <w:rsid w:val="00644848"/>
    <w:rsid w:val="00767D3F"/>
    <w:rsid w:val="00805722"/>
    <w:rsid w:val="00A62AFB"/>
    <w:rsid w:val="00BE6E9F"/>
    <w:rsid w:val="00C910B0"/>
    <w:rsid w:val="00EA1DA6"/>
    <w:rsid w:val="00F544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DFE"/>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DFE"/>
    <w:pPr>
      <w:ind w:left="720"/>
      <w:contextualSpacing/>
    </w:pPr>
  </w:style>
  <w:style w:type="paragraph" w:customStyle="1" w:styleId="TituloCapitulo">
    <w:name w:val="TituloCapitulo"/>
    <w:rsid w:val="00767D3F"/>
    <w:pPr>
      <w:autoSpaceDE w:val="0"/>
      <w:autoSpaceDN w:val="0"/>
      <w:adjustRightInd w:val="0"/>
      <w:spacing w:after="0" w:line="240" w:lineRule="auto"/>
      <w:jc w:val="center"/>
    </w:pPr>
    <w:rPr>
      <w:rFonts w:ascii="Palatino" w:eastAsia="Times New Roman" w:hAnsi="Palatino" w:cs="Palatino"/>
      <w:b/>
      <w:bCs/>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2112</Words>
  <Characters>11619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WORKGROUP</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ICHITAIP0168</dc:creator>
  <cp:keywords/>
  <dc:description/>
  <cp:lastModifiedBy>ICHITAIP0168</cp:lastModifiedBy>
  <cp:revision>3</cp:revision>
  <dcterms:created xsi:type="dcterms:W3CDTF">2011-05-06T21:26:00Z</dcterms:created>
  <dcterms:modified xsi:type="dcterms:W3CDTF">2011-05-09T21:00:00Z</dcterms:modified>
</cp:coreProperties>
</file>